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FC5" w:rsidRPr="00486FC5" w:rsidRDefault="00486FC5" w:rsidP="00486FC5">
      <w:pPr>
        <w:spacing w:before="100" w:beforeAutospacing="1" w:after="100" w:afterAutospacing="1" w:line="240" w:lineRule="auto"/>
        <w:outlineLvl w:val="2"/>
        <w:rPr>
          <w:rFonts w:eastAsia="Times New Roman" w:cs="Times New Roman"/>
          <w:b/>
          <w:bCs/>
          <w:color w:val="000000"/>
          <w:sz w:val="27"/>
          <w:szCs w:val="27"/>
        </w:rPr>
      </w:pPr>
      <w:r w:rsidRPr="00486FC5">
        <w:rPr>
          <w:rFonts w:eastAsia="Times New Roman" w:cs="Times New Roman"/>
          <w:b/>
          <w:bCs/>
          <w:color w:val="000000"/>
          <w:sz w:val="27"/>
          <w:szCs w:val="27"/>
        </w:rPr>
        <w:t xml:space="preserve">Syllabus: HST 103 </w:t>
      </w:r>
      <w:proofErr w:type="gramStart"/>
      <w:r w:rsidRPr="00486FC5">
        <w:rPr>
          <w:rFonts w:eastAsia="Times New Roman" w:cs="Times New Roman"/>
          <w:b/>
          <w:bCs/>
          <w:color w:val="000000"/>
          <w:sz w:val="27"/>
          <w:szCs w:val="27"/>
        </w:rPr>
        <w:t>Spring</w:t>
      </w:r>
      <w:proofErr w:type="gramEnd"/>
      <w:r w:rsidRPr="00486FC5">
        <w:rPr>
          <w:rFonts w:eastAsia="Times New Roman" w:cs="Times New Roman"/>
          <w:b/>
          <w:bCs/>
          <w:color w:val="000000"/>
          <w:sz w:val="27"/>
          <w:szCs w:val="27"/>
        </w:rPr>
        <w:t xml:space="preserve"> 2013</w:t>
      </w:r>
    </w:p>
    <w:p w:rsidR="00486FC5" w:rsidRPr="00486FC5" w:rsidRDefault="00486FC5" w:rsidP="00486FC5">
      <w:pPr>
        <w:spacing w:before="100" w:beforeAutospacing="1" w:after="100" w:afterAutospacing="1" w:line="240" w:lineRule="auto"/>
        <w:outlineLvl w:val="2"/>
        <w:rPr>
          <w:rFonts w:eastAsia="Times New Roman" w:cs="Times New Roman"/>
          <w:b/>
          <w:bCs/>
          <w:color w:val="000000"/>
          <w:sz w:val="27"/>
          <w:szCs w:val="27"/>
        </w:rPr>
      </w:pPr>
      <w:r w:rsidRPr="00486FC5">
        <w:rPr>
          <w:rFonts w:eastAsia="Times New Roman" w:cs="Times New Roman"/>
          <w:b/>
          <w:bCs/>
          <w:color w:val="000000"/>
          <w:sz w:val="27"/>
          <w:szCs w:val="27"/>
        </w:rPr>
        <w:t>Highlights of this Course</w:t>
      </w:r>
    </w:p>
    <w:p w:rsidR="00486FC5" w:rsidRPr="00486FC5" w:rsidRDefault="00486FC5" w:rsidP="00486FC5">
      <w:pPr>
        <w:spacing w:before="100" w:beforeAutospacing="1" w:after="100" w:afterAutospacing="1" w:line="240" w:lineRule="auto"/>
        <w:rPr>
          <w:rFonts w:eastAsia="Times New Roman" w:cs="Times New Roman"/>
          <w:color w:val="000000"/>
          <w:sz w:val="27"/>
          <w:szCs w:val="27"/>
        </w:rPr>
      </w:pPr>
      <w:r w:rsidRPr="00486FC5">
        <w:rPr>
          <w:rFonts w:eastAsia="Times New Roman" w:cs="Times New Roman"/>
          <w:color w:val="000000"/>
          <w:sz w:val="27"/>
          <w:szCs w:val="27"/>
        </w:rPr>
        <w:t>This is an Internet delivered version of World History designed to provide a brief but coherent account of early African, American, Asian, and European societies. Students will learn about these societies and their interactions from textbook readings and Internet resources.</w:t>
      </w:r>
    </w:p>
    <w:p w:rsidR="00486FC5" w:rsidRPr="00486FC5" w:rsidRDefault="00486FC5" w:rsidP="00486FC5">
      <w:pPr>
        <w:spacing w:before="100" w:beforeAutospacing="1" w:after="100" w:afterAutospacing="1" w:line="240" w:lineRule="auto"/>
        <w:outlineLvl w:val="2"/>
        <w:rPr>
          <w:rFonts w:eastAsia="Times New Roman" w:cs="Times New Roman"/>
          <w:b/>
          <w:bCs/>
          <w:color w:val="000000"/>
          <w:sz w:val="27"/>
          <w:szCs w:val="27"/>
        </w:rPr>
      </w:pPr>
      <w:r w:rsidRPr="00486FC5">
        <w:rPr>
          <w:rFonts w:eastAsia="Times New Roman" w:cs="Times New Roman"/>
          <w:b/>
          <w:bCs/>
          <w:color w:val="000000"/>
          <w:sz w:val="27"/>
          <w:szCs w:val="27"/>
        </w:rPr>
        <w:t>Course Description</w:t>
      </w:r>
    </w:p>
    <w:p w:rsidR="00486FC5" w:rsidRPr="00486FC5" w:rsidRDefault="00486FC5" w:rsidP="00486FC5">
      <w:pPr>
        <w:spacing w:before="100" w:beforeAutospacing="1" w:after="100" w:afterAutospacing="1" w:line="240" w:lineRule="auto"/>
        <w:rPr>
          <w:rFonts w:eastAsia="Times New Roman" w:cs="Times New Roman"/>
          <w:color w:val="000000"/>
          <w:sz w:val="27"/>
          <w:szCs w:val="27"/>
        </w:rPr>
      </w:pPr>
      <w:r w:rsidRPr="00486FC5">
        <w:rPr>
          <w:rFonts w:eastAsia="Times New Roman" w:cs="Times New Roman"/>
          <w:color w:val="000000"/>
          <w:sz w:val="27"/>
          <w:szCs w:val="27"/>
        </w:rPr>
        <w:t xml:space="preserve">This course provides students with a broad introduction to the World History from the Neolithic Age to the profound transformations of the sixteenth century which led to the development of modern global society. It will focus on key aspects of economic, social, political, religious, cultural, </w:t>
      </w:r>
      <w:proofErr w:type="gramStart"/>
      <w:r w:rsidRPr="00486FC5">
        <w:rPr>
          <w:rFonts w:eastAsia="Times New Roman" w:cs="Times New Roman"/>
          <w:color w:val="000000"/>
          <w:sz w:val="27"/>
          <w:szCs w:val="27"/>
        </w:rPr>
        <w:t>intellectual</w:t>
      </w:r>
      <w:proofErr w:type="gramEnd"/>
      <w:r w:rsidRPr="00486FC5">
        <w:rPr>
          <w:rFonts w:eastAsia="Times New Roman" w:cs="Times New Roman"/>
          <w:color w:val="000000"/>
          <w:sz w:val="27"/>
          <w:szCs w:val="27"/>
        </w:rPr>
        <w:t xml:space="preserve"> and gender history.</w:t>
      </w:r>
    </w:p>
    <w:p w:rsidR="00E31687" w:rsidRPr="00486FC5" w:rsidRDefault="00486FC5" w:rsidP="00486FC5">
      <w:pPr>
        <w:spacing w:before="100" w:beforeAutospacing="1" w:after="100" w:afterAutospacing="1" w:line="240" w:lineRule="auto"/>
        <w:rPr>
          <w:rFonts w:eastAsia="Times New Roman" w:cs="Times New Roman"/>
          <w:color w:val="000000"/>
          <w:sz w:val="27"/>
          <w:szCs w:val="27"/>
        </w:rPr>
      </w:pPr>
      <w:r w:rsidRPr="00486FC5">
        <w:rPr>
          <w:rFonts w:eastAsia="Times New Roman" w:cs="Times New Roman"/>
          <w:color w:val="000000"/>
          <w:sz w:val="27"/>
          <w:szCs w:val="27"/>
        </w:rPr>
        <w:t>The general process for taking this course begins with reading the chapter. Students can then use the assessments to test their understanding of basic concepts, terminology, significant issues, and finally, content mastery. As students discover their weaknesses, they can reread the chapter, or use the Internet resources to improve their understanding of the material and then retake the assessment.</w:t>
      </w:r>
    </w:p>
    <w:p w:rsidR="00486FC5" w:rsidRPr="00486FC5" w:rsidRDefault="00486FC5" w:rsidP="00486FC5">
      <w:pPr>
        <w:spacing w:before="100" w:beforeAutospacing="1" w:after="100" w:afterAutospacing="1" w:line="240" w:lineRule="auto"/>
        <w:outlineLvl w:val="2"/>
        <w:rPr>
          <w:rFonts w:eastAsia="Times New Roman" w:cs="Times New Roman"/>
          <w:b/>
          <w:bCs/>
          <w:color w:val="000000"/>
          <w:sz w:val="27"/>
          <w:szCs w:val="27"/>
        </w:rPr>
      </w:pPr>
      <w:r w:rsidRPr="00486FC5">
        <w:rPr>
          <w:rFonts w:eastAsia="Times New Roman" w:cs="Times New Roman"/>
          <w:b/>
          <w:bCs/>
          <w:color w:val="000000"/>
          <w:szCs w:val="24"/>
        </w:rPr>
        <w:t>Grades</w:t>
      </w:r>
    </w:p>
    <w:p w:rsidR="00486FC5" w:rsidRPr="00486FC5" w:rsidRDefault="00486FC5" w:rsidP="00486FC5">
      <w:pPr>
        <w:spacing w:before="100" w:beforeAutospacing="1" w:after="100" w:afterAutospacing="1" w:line="240" w:lineRule="auto"/>
        <w:rPr>
          <w:rFonts w:eastAsia="Times New Roman" w:cs="Times New Roman"/>
          <w:color w:val="000000"/>
          <w:sz w:val="27"/>
          <w:szCs w:val="27"/>
        </w:rPr>
      </w:pPr>
      <w:r w:rsidRPr="00486FC5">
        <w:rPr>
          <w:rFonts w:eastAsia="Times New Roman" w:cs="Times New Roman"/>
          <w:color w:val="000000"/>
          <w:sz w:val="27"/>
          <w:szCs w:val="27"/>
        </w:rPr>
        <w:t xml:space="preserve">Students may move through the course at their own rate. Some students may be able to complete the course in three weeks, others may require the entire semester. However a student chooses to take this course, the amount and quality of student work will determine their grades. Students can take each assessment twice; the highest grade counts towards the course total. This means that by choosing the amount and quality of effort to put into this course, students can decide on </w:t>
      </w:r>
      <w:proofErr w:type="gramStart"/>
      <w:r w:rsidRPr="00486FC5">
        <w:rPr>
          <w:rFonts w:eastAsia="Times New Roman" w:cs="Times New Roman"/>
          <w:color w:val="000000"/>
          <w:sz w:val="27"/>
          <w:szCs w:val="27"/>
        </w:rPr>
        <w:t>the their</w:t>
      </w:r>
      <w:proofErr w:type="gramEnd"/>
      <w:r w:rsidRPr="00486FC5">
        <w:rPr>
          <w:rFonts w:eastAsia="Times New Roman" w:cs="Times New Roman"/>
          <w:color w:val="000000"/>
          <w:sz w:val="27"/>
          <w:szCs w:val="27"/>
        </w:rPr>
        <w:t xml:space="preserve"> own level of content mastery and hence choose their own grade.</w:t>
      </w:r>
    </w:p>
    <w:p w:rsidR="00486FC5" w:rsidRPr="00486FC5" w:rsidRDefault="00486FC5" w:rsidP="00486FC5">
      <w:pPr>
        <w:spacing w:before="100" w:beforeAutospacing="1" w:after="100" w:afterAutospacing="1" w:line="240" w:lineRule="auto"/>
        <w:rPr>
          <w:rFonts w:eastAsia="Times New Roman" w:cs="Times New Roman"/>
          <w:color w:val="000000"/>
          <w:sz w:val="27"/>
          <w:szCs w:val="27"/>
        </w:rPr>
      </w:pPr>
      <w:r w:rsidRPr="00486FC5">
        <w:rPr>
          <w:rFonts w:eastAsia="Times New Roman" w:cs="Times New Roman"/>
          <w:color w:val="000000"/>
          <w:sz w:val="27"/>
          <w:szCs w:val="27"/>
        </w:rPr>
        <w:t xml:space="preserve">This course uses the straight letter grading system. The course grade is based on the sum of the points students earn in the </w:t>
      </w:r>
      <w:r w:rsidRPr="00486FC5">
        <w:rPr>
          <w:rFonts w:eastAsia="Times New Roman" w:cs="Times New Roman"/>
          <w:color w:val="000000"/>
          <w:sz w:val="27"/>
          <w:szCs w:val="27"/>
        </w:rPr>
        <w:lastRenderedPageBreak/>
        <w:t xml:space="preserve">chapter assessments and discussions compared to the number of points possible. For instance, if there are 1062 possible points, to earn a "B" grade for the course, a student must acquire 80% of those points or 850 </w:t>
      </w:r>
      <w:proofErr w:type="spellStart"/>
      <w:r w:rsidRPr="00486FC5">
        <w:rPr>
          <w:rFonts w:eastAsia="Times New Roman" w:cs="Times New Roman"/>
          <w:color w:val="000000"/>
          <w:sz w:val="27"/>
          <w:szCs w:val="27"/>
        </w:rPr>
        <w:t>points.To</w:t>
      </w:r>
      <w:proofErr w:type="spellEnd"/>
      <w:r w:rsidRPr="00486FC5">
        <w:rPr>
          <w:rFonts w:eastAsia="Times New Roman" w:cs="Times New Roman"/>
          <w:color w:val="000000"/>
          <w:sz w:val="27"/>
          <w:szCs w:val="27"/>
        </w:rPr>
        <w:t xml:space="preserve"> earn an A grade, a student must acquire 956 points, that is, 90% of the total. Students will receive midterm grades based on their course work through chapter 6. There is no final exam, but there is a final online discussion which employs part of finals week.</w:t>
      </w:r>
    </w:p>
    <w:p w:rsidR="00486FC5" w:rsidRPr="00486FC5" w:rsidRDefault="00486FC5" w:rsidP="00486FC5">
      <w:pPr>
        <w:spacing w:before="100" w:beforeAutospacing="1" w:after="100" w:afterAutospacing="1" w:line="240" w:lineRule="auto"/>
        <w:rPr>
          <w:rFonts w:eastAsia="Times New Roman" w:cs="Times New Roman"/>
          <w:color w:val="000000"/>
          <w:sz w:val="27"/>
          <w:szCs w:val="27"/>
        </w:rPr>
      </w:pPr>
      <w:r w:rsidRPr="00486FC5">
        <w:rPr>
          <w:rFonts w:eastAsia="Times New Roman" w:cs="Times New Roman"/>
          <w:b/>
          <w:bCs/>
          <w:color w:val="000000"/>
          <w:sz w:val="27"/>
          <w:szCs w:val="27"/>
        </w:rPr>
        <w:t>All assessments must be completed by the end of the day on May 6, 2013.</w:t>
      </w:r>
    </w:p>
    <w:p w:rsidR="00486FC5" w:rsidRPr="00486FC5" w:rsidRDefault="00486FC5" w:rsidP="00486FC5">
      <w:pPr>
        <w:spacing w:before="100" w:beforeAutospacing="1" w:after="100" w:afterAutospacing="1" w:line="240" w:lineRule="auto"/>
        <w:outlineLvl w:val="2"/>
        <w:rPr>
          <w:rFonts w:eastAsia="Times New Roman" w:cs="Times New Roman"/>
          <w:b/>
          <w:bCs/>
          <w:color w:val="000000"/>
          <w:sz w:val="27"/>
          <w:szCs w:val="27"/>
        </w:rPr>
      </w:pPr>
      <w:r w:rsidRPr="00486FC5">
        <w:rPr>
          <w:rFonts w:eastAsia="Times New Roman" w:cs="Times New Roman"/>
          <w:b/>
          <w:bCs/>
          <w:color w:val="000000"/>
          <w:szCs w:val="24"/>
        </w:rPr>
        <w:t>Discussion</w:t>
      </w:r>
    </w:p>
    <w:p w:rsidR="00486FC5" w:rsidRPr="00486FC5" w:rsidRDefault="00486FC5" w:rsidP="00486FC5">
      <w:pPr>
        <w:spacing w:before="100" w:beforeAutospacing="1" w:after="100" w:afterAutospacing="1" w:line="240" w:lineRule="auto"/>
        <w:rPr>
          <w:rFonts w:eastAsia="Times New Roman" w:cs="Times New Roman"/>
          <w:color w:val="000000"/>
          <w:sz w:val="27"/>
          <w:szCs w:val="27"/>
        </w:rPr>
      </w:pPr>
      <w:r w:rsidRPr="00486FC5">
        <w:rPr>
          <w:rFonts w:eastAsia="Times New Roman" w:cs="Times New Roman"/>
          <w:color w:val="000000"/>
          <w:sz w:val="27"/>
          <w:szCs w:val="27"/>
        </w:rPr>
        <w:t>Once students have mastered the content of a group of chapters, they can participate in graded discussions which address major course goals. Unlike the chapter work, the discussions will be open for set periods. Students must participate during those periods. There are three discussions. Students can opt out of one of the discussions, or use the third as extra credit. </w:t>
      </w:r>
    </w:p>
    <w:p w:rsidR="00486FC5" w:rsidRPr="00486FC5" w:rsidRDefault="00486FC5" w:rsidP="00486FC5">
      <w:pPr>
        <w:spacing w:before="100" w:beforeAutospacing="1" w:after="100" w:afterAutospacing="1" w:line="240" w:lineRule="auto"/>
        <w:outlineLvl w:val="2"/>
        <w:rPr>
          <w:rFonts w:eastAsia="Times New Roman" w:cs="Times New Roman"/>
          <w:b/>
          <w:bCs/>
          <w:color w:val="000000"/>
          <w:sz w:val="27"/>
          <w:szCs w:val="27"/>
        </w:rPr>
      </w:pPr>
      <w:r w:rsidRPr="00486FC5">
        <w:rPr>
          <w:rFonts w:eastAsia="Times New Roman" w:cs="Times New Roman"/>
          <w:b/>
          <w:bCs/>
          <w:color w:val="000000"/>
          <w:sz w:val="27"/>
          <w:szCs w:val="27"/>
        </w:rPr>
        <w:t>General Education Goals</w:t>
      </w:r>
    </w:p>
    <w:p w:rsidR="00E31687" w:rsidRPr="00E31687" w:rsidRDefault="00E31687" w:rsidP="00E31687">
      <w:pPr>
        <w:spacing w:line="480" w:lineRule="auto"/>
        <w:rPr>
          <w:rFonts w:ascii="Arial" w:eastAsia="Calibri" w:hAnsi="Arial" w:cs="Arial"/>
          <w:sz w:val="22"/>
          <w:szCs w:val="24"/>
        </w:rPr>
      </w:pPr>
      <w:r w:rsidRPr="00E31687">
        <w:rPr>
          <w:rFonts w:ascii="Arial" w:eastAsia="Calibri" w:hAnsi="Arial" w:cs="Arial"/>
          <w:sz w:val="22"/>
          <w:szCs w:val="24"/>
        </w:rPr>
        <w:t>This course participates in General Education’s Focus on the Humanities through General Goal 9. In particular, students who satisfactorily complete the course will</w:t>
      </w:r>
    </w:p>
    <w:tbl>
      <w:tblPr>
        <w:tblStyle w:val="TableGrid"/>
        <w:tblW w:w="0" w:type="auto"/>
        <w:tblLook w:val="04A0" w:firstRow="1" w:lastRow="0" w:firstColumn="1" w:lastColumn="0" w:noHBand="0" w:noVBand="1"/>
      </w:tblPr>
      <w:tblGrid>
        <w:gridCol w:w="3192"/>
        <w:gridCol w:w="3192"/>
        <w:gridCol w:w="3192"/>
      </w:tblGrid>
      <w:tr w:rsidR="00E31687" w:rsidRPr="00E31687" w:rsidTr="00354DAD">
        <w:tc>
          <w:tcPr>
            <w:tcW w:w="3192" w:type="dxa"/>
          </w:tcPr>
          <w:p w:rsidR="00E31687" w:rsidRPr="00E31687" w:rsidRDefault="00E31687" w:rsidP="00E31687">
            <w:pPr>
              <w:spacing w:line="480" w:lineRule="auto"/>
              <w:jc w:val="center"/>
              <w:rPr>
                <w:rFonts w:ascii="Arial" w:eastAsia="Calibri" w:hAnsi="Arial" w:cs="Arial"/>
                <w:b/>
                <w:szCs w:val="24"/>
              </w:rPr>
            </w:pPr>
            <w:r w:rsidRPr="00E31687">
              <w:rPr>
                <w:rFonts w:ascii="Arial" w:eastAsia="Calibri" w:hAnsi="Arial" w:cs="Arial"/>
                <w:b/>
                <w:szCs w:val="24"/>
              </w:rPr>
              <w:t>General Goal 9</w:t>
            </w:r>
          </w:p>
        </w:tc>
        <w:tc>
          <w:tcPr>
            <w:tcW w:w="3192" w:type="dxa"/>
          </w:tcPr>
          <w:p w:rsidR="00E31687" w:rsidRPr="00E31687" w:rsidRDefault="00E31687" w:rsidP="00E31687">
            <w:pPr>
              <w:spacing w:line="480" w:lineRule="auto"/>
              <w:jc w:val="center"/>
              <w:rPr>
                <w:rFonts w:ascii="Arial" w:eastAsia="Calibri" w:hAnsi="Arial" w:cs="Arial"/>
                <w:b/>
                <w:szCs w:val="24"/>
              </w:rPr>
            </w:pPr>
            <w:r w:rsidRPr="00E31687">
              <w:rPr>
                <w:rFonts w:ascii="Arial" w:eastAsia="Calibri" w:hAnsi="Arial" w:cs="Arial"/>
                <w:b/>
                <w:szCs w:val="24"/>
              </w:rPr>
              <w:t>Course Goal</w:t>
            </w:r>
          </w:p>
        </w:tc>
        <w:tc>
          <w:tcPr>
            <w:tcW w:w="3192" w:type="dxa"/>
          </w:tcPr>
          <w:p w:rsidR="00E31687" w:rsidRPr="00E31687" w:rsidRDefault="00E31687" w:rsidP="00E31687">
            <w:pPr>
              <w:spacing w:line="480" w:lineRule="auto"/>
              <w:jc w:val="center"/>
              <w:rPr>
                <w:rFonts w:ascii="Arial" w:eastAsia="Calibri" w:hAnsi="Arial" w:cs="Arial"/>
                <w:b/>
                <w:szCs w:val="24"/>
              </w:rPr>
            </w:pPr>
            <w:r w:rsidRPr="00E31687">
              <w:rPr>
                <w:rFonts w:ascii="Arial" w:eastAsia="Calibri" w:hAnsi="Arial" w:cs="Arial"/>
                <w:b/>
                <w:szCs w:val="24"/>
              </w:rPr>
              <w:t>Assessment</w:t>
            </w:r>
          </w:p>
        </w:tc>
      </w:tr>
      <w:tr w:rsidR="00E31687" w:rsidRPr="00E31687" w:rsidTr="00354DAD">
        <w:tc>
          <w:tcPr>
            <w:tcW w:w="3192" w:type="dxa"/>
          </w:tcPr>
          <w:p w:rsidR="00E31687" w:rsidRPr="00E31687" w:rsidRDefault="00E31687" w:rsidP="00E31687">
            <w:pPr>
              <w:spacing w:line="480" w:lineRule="auto"/>
              <w:rPr>
                <w:rFonts w:eastAsia="Calibri" w:cs="Calibri"/>
                <w:sz w:val="20"/>
                <w:szCs w:val="20"/>
              </w:rPr>
            </w:pPr>
            <w:r w:rsidRPr="00E31687">
              <w:rPr>
                <w:rFonts w:eastAsia="Calibri" w:cs="Calibri"/>
                <w:sz w:val="20"/>
                <w:szCs w:val="20"/>
              </w:rPr>
              <w:t>Understand how various forms of written, oral, musical, visual, and bodily expression contribute to human knowledge and experience.</w:t>
            </w:r>
          </w:p>
          <w:p w:rsidR="00E31687" w:rsidRPr="00E31687" w:rsidRDefault="00E31687" w:rsidP="00E31687">
            <w:pPr>
              <w:spacing w:line="480" w:lineRule="auto"/>
              <w:rPr>
                <w:rFonts w:eastAsia="Calibri" w:cs="Arial"/>
                <w:sz w:val="20"/>
                <w:szCs w:val="20"/>
              </w:rPr>
            </w:pPr>
          </w:p>
        </w:tc>
        <w:tc>
          <w:tcPr>
            <w:tcW w:w="3192" w:type="dxa"/>
          </w:tcPr>
          <w:p w:rsidR="00E31687" w:rsidRPr="00E31687" w:rsidRDefault="00E31687" w:rsidP="00E31687">
            <w:pPr>
              <w:spacing w:line="480" w:lineRule="auto"/>
              <w:rPr>
                <w:rFonts w:eastAsia="Calibri" w:cs="Arial"/>
                <w:sz w:val="20"/>
                <w:szCs w:val="20"/>
              </w:rPr>
            </w:pPr>
            <w:r w:rsidRPr="00E31687">
              <w:rPr>
                <w:rFonts w:eastAsia="Calibri" w:cs="Arial"/>
                <w:sz w:val="20"/>
                <w:szCs w:val="20"/>
              </w:rPr>
              <w:t>Understand how various forms of written, oral, and visual expression contributed to human knowledge from prehistory to the 16</w:t>
            </w:r>
            <w:r w:rsidRPr="00E31687">
              <w:rPr>
                <w:rFonts w:eastAsia="Calibri" w:cs="Arial"/>
                <w:sz w:val="20"/>
                <w:szCs w:val="20"/>
                <w:vertAlign w:val="superscript"/>
              </w:rPr>
              <w:t>th</w:t>
            </w:r>
            <w:r w:rsidRPr="00E31687">
              <w:rPr>
                <w:rFonts w:eastAsia="Calibri" w:cs="Arial"/>
                <w:sz w:val="20"/>
                <w:szCs w:val="20"/>
              </w:rPr>
              <w:t xml:space="preserve"> century.</w:t>
            </w:r>
          </w:p>
        </w:tc>
        <w:tc>
          <w:tcPr>
            <w:tcW w:w="3192" w:type="dxa"/>
          </w:tcPr>
          <w:p w:rsidR="00E31687" w:rsidRPr="00E31687" w:rsidRDefault="00E31687" w:rsidP="00E31687">
            <w:pPr>
              <w:spacing w:line="480" w:lineRule="auto"/>
              <w:rPr>
                <w:rFonts w:eastAsia="Calibri" w:cs="Arial"/>
                <w:sz w:val="20"/>
                <w:szCs w:val="20"/>
              </w:rPr>
            </w:pPr>
            <w:r w:rsidRPr="00E31687">
              <w:rPr>
                <w:rFonts w:eastAsia="Calibri" w:cs="Arial"/>
                <w:sz w:val="20"/>
                <w:szCs w:val="20"/>
              </w:rPr>
              <w:t>Each section will include written assignments which require students to address how peoples in various periods and places contributed to human knowledge.</w:t>
            </w:r>
          </w:p>
        </w:tc>
      </w:tr>
      <w:tr w:rsidR="00E31687" w:rsidRPr="00E31687" w:rsidTr="00354DAD">
        <w:tc>
          <w:tcPr>
            <w:tcW w:w="3192" w:type="dxa"/>
          </w:tcPr>
          <w:p w:rsidR="00E31687" w:rsidRPr="00E31687" w:rsidRDefault="00E31687" w:rsidP="00E31687">
            <w:pPr>
              <w:spacing w:line="480" w:lineRule="auto"/>
              <w:rPr>
                <w:rFonts w:eastAsia="Calibri" w:cs="Arial"/>
                <w:sz w:val="20"/>
                <w:szCs w:val="20"/>
              </w:rPr>
            </w:pPr>
            <w:r w:rsidRPr="00E31687">
              <w:rPr>
                <w:rFonts w:eastAsia="Calibri" w:cs="Arial"/>
                <w:sz w:val="20"/>
                <w:szCs w:val="20"/>
              </w:rPr>
              <w:lastRenderedPageBreak/>
              <w:t>Interpret texts and other cultural products in ways that reflect informed understandings of relevant contextual factors, including socio-cultural influence and cultural traditions, perspectives, and behavior patterns.</w:t>
            </w:r>
          </w:p>
        </w:tc>
        <w:tc>
          <w:tcPr>
            <w:tcW w:w="3192" w:type="dxa"/>
          </w:tcPr>
          <w:p w:rsidR="00E31687" w:rsidRPr="00E31687" w:rsidRDefault="00E31687" w:rsidP="00E31687">
            <w:pPr>
              <w:spacing w:line="480" w:lineRule="auto"/>
              <w:rPr>
                <w:rFonts w:eastAsia="Calibri" w:cs="Arial"/>
                <w:sz w:val="20"/>
                <w:szCs w:val="20"/>
              </w:rPr>
            </w:pPr>
            <w:r w:rsidRPr="00E31687">
              <w:rPr>
                <w:rFonts w:eastAsia="Calibri" w:cs="Arial"/>
                <w:sz w:val="20"/>
                <w:szCs w:val="20"/>
              </w:rPr>
              <w:t>Learn to interpret texts and other cultural products within the context of societies from prehistory to the 16</w:t>
            </w:r>
            <w:r w:rsidRPr="00E31687">
              <w:rPr>
                <w:rFonts w:eastAsia="Calibri" w:cs="Arial"/>
                <w:sz w:val="20"/>
                <w:szCs w:val="20"/>
                <w:vertAlign w:val="superscript"/>
              </w:rPr>
              <w:t>th</w:t>
            </w:r>
            <w:r w:rsidRPr="00E31687">
              <w:rPr>
                <w:rFonts w:eastAsia="Calibri" w:cs="Arial"/>
                <w:sz w:val="20"/>
                <w:szCs w:val="20"/>
              </w:rPr>
              <w:t xml:space="preserve"> century.</w:t>
            </w:r>
          </w:p>
        </w:tc>
        <w:tc>
          <w:tcPr>
            <w:tcW w:w="3192" w:type="dxa"/>
          </w:tcPr>
          <w:p w:rsidR="00E31687" w:rsidRPr="00E31687" w:rsidRDefault="00E31687" w:rsidP="00E31687">
            <w:pPr>
              <w:spacing w:line="480" w:lineRule="auto"/>
              <w:rPr>
                <w:rFonts w:eastAsia="Calibri" w:cs="Arial"/>
                <w:sz w:val="20"/>
                <w:szCs w:val="20"/>
              </w:rPr>
            </w:pPr>
            <w:r w:rsidRPr="00E31687">
              <w:rPr>
                <w:rFonts w:eastAsia="Calibri" w:cs="Arial"/>
                <w:sz w:val="20"/>
                <w:szCs w:val="20"/>
              </w:rPr>
              <w:t>Each section will include written assignments in which students demonstrate the ability to interpret texts in historical contexts.</w:t>
            </w:r>
          </w:p>
        </w:tc>
      </w:tr>
      <w:tr w:rsidR="00E31687" w:rsidRPr="00E31687" w:rsidTr="00354DAD">
        <w:tc>
          <w:tcPr>
            <w:tcW w:w="3192" w:type="dxa"/>
          </w:tcPr>
          <w:p w:rsidR="00E31687" w:rsidRPr="00E31687" w:rsidRDefault="00E31687" w:rsidP="00E31687">
            <w:pPr>
              <w:spacing w:line="480" w:lineRule="auto"/>
              <w:rPr>
                <w:rFonts w:eastAsia="Calibri" w:cs="Arial"/>
                <w:sz w:val="20"/>
                <w:szCs w:val="20"/>
              </w:rPr>
            </w:pPr>
            <w:r w:rsidRPr="00E31687">
              <w:rPr>
                <w:rFonts w:eastAsia="Calibri" w:cs="Arial"/>
                <w:sz w:val="20"/>
                <w:szCs w:val="20"/>
              </w:rPr>
              <w:t>Analytically compare the influences of community, institutions, and other constructions such as class, gender, and race on the ways of thinking, believing, and acting in cultural and historical settings other than one’s own.</w:t>
            </w:r>
          </w:p>
        </w:tc>
        <w:tc>
          <w:tcPr>
            <w:tcW w:w="3192" w:type="dxa"/>
          </w:tcPr>
          <w:p w:rsidR="00E31687" w:rsidRPr="00E31687" w:rsidRDefault="00E31687" w:rsidP="00E31687">
            <w:pPr>
              <w:spacing w:line="480" w:lineRule="auto"/>
              <w:rPr>
                <w:rFonts w:eastAsia="Calibri" w:cs="Arial"/>
                <w:sz w:val="20"/>
                <w:szCs w:val="20"/>
              </w:rPr>
            </w:pPr>
            <w:r w:rsidRPr="00E31687">
              <w:rPr>
                <w:rFonts w:eastAsia="Calibri" w:cs="Arial"/>
                <w:sz w:val="20"/>
                <w:szCs w:val="20"/>
              </w:rPr>
              <w:t>Learn to analyze and compare the influences of community institutions, and constructions such as class, gender, and race, on the ways of thinking, believing, and acting in historical settings from prehistory to the 16</w:t>
            </w:r>
            <w:r w:rsidRPr="00E31687">
              <w:rPr>
                <w:rFonts w:eastAsia="Calibri" w:cs="Arial"/>
                <w:sz w:val="20"/>
                <w:szCs w:val="20"/>
                <w:vertAlign w:val="superscript"/>
              </w:rPr>
              <w:t>th</w:t>
            </w:r>
            <w:r w:rsidRPr="00E31687">
              <w:rPr>
                <w:rFonts w:eastAsia="Calibri" w:cs="Arial"/>
                <w:sz w:val="20"/>
                <w:szCs w:val="20"/>
              </w:rPr>
              <w:t xml:space="preserve"> century.</w:t>
            </w:r>
          </w:p>
        </w:tc>
        <w:tc>
          <w:tcPr>
            <w:tcW w:w="3192" w:type="dxa"/>
          </w:tcPr>
          <w:p w:rsidR="00E31687" w:rsidRPr="00E31687" w:rsidRDefault="00E31687" w:rsidP="00E31687">
            <w:pPr>
              <w:spacing w:line="480" w:lineRule="auto"/>
              <w:rPr>
                <w:rFonts w:eastAsia="Calibri" w:cs="Arial"/>
                <w:sz w:val="20"/>
                <w:szCs w:val="20"/>
              </w:rPr>
            </w:pPr>
            <w:r w:rsidRPr="00E31687">
              <w:rPr>
                <w:rFonts w:eastAsia="Calibri" w:cs="Arial"/>
                <w:sz w:val="20"/>
                <w:szCs w:val="20"/>
              </w:rPr>
              <w:t>Each section will include written assignments in which students will demonstrate the ability to analyze and compare the influences of social constructions on the beliefs and actions of people within their historical contexts.</w:t>
            </w:r>
          </w:p>
        </w:tc>
      </w:tr>
    </w:tbl>
    <w:p w:rsidR="00E31687" w:rsidRPr="00E31687" w:rsidRDefault="00E31687" w:rsidP="00E31687">
      <w:pPr>
        <w:spacing w:line="480" w:lineRule="auto"/>
        <w:rPr>
          <w:rFonts w:ascii="Arial" w:eastAsia="Calibri" w:hAnsi="Arial" w:cs="Arial"/>
          <w:szCs w:val="24"/>
        </w:rPr>
      </w:pPr>
    </w:p>
    <w:p w:rsidR="00E31687" w:rsidRPr="00E31687" w:rsidRDefault="00E31687" w:rsidP="00E31687">
      <w:pPr>
        <w:spacing w:line="480" w:lineRule="auto"/>
        <w:rPr>
          <w:rFonts w:ascii="Calibri" w:eastAsia="Calibri" w:hAnsi="Calibri" w:cs="Calibri"/>
          <w:sz w:val="22"/>
        </w:rPr>
      </w:pPr>
      <w:r w:rsidRPr="00E31687">
        <w:rPr>
          <w:rFonts w:ascii="Calibri" w:eastAsia="Calibri" w:hAnsi="Calibri" w:cs="Calibri"/>
          <w:sz w:val="22"/>
        </w:rPr>
        <w:t xml:space="preserve"> </w:t>
      </w:r>
    </w:p>
    <w:p w:rsidR="00E31687" w:rsidRPr="00E31687" w:rsidRDefault="00E31687" w:rsidP="00E31687">
      <w:pPr>
        <w:rPr>
          <w:rFonts w:ascii="Calibri" w:eastAsia="Calibri" w:hAnsi="Calibri" w:cs="Calibri"/>
          <w:sz w:val="22"/>
        </w:rPr>
      </w:pPr>
    </w:p>
    <w:p w:rsidR="00E31687" w:rsidRDefault="00E31687" w:rsidP="00486FC5">
      <w:pPr>
        <w:spacing w:before="100" w:beforeAutospacing="1" w:after="100" w:afterAutospacing="1" w:line="240" w:lineRule="auto"/>
        <w:rPr>
          <w:rFonts w:eastAsia="Times New Roman" w:cs="Times New Roman"/>
          <w:color w:val="000000"/>
          <w:sz w:val="27"/>
          <w:szCs w:val="27"/>
        </w:rPr>
      </w:pPr>
    </w:p>
    <w:p w:rsidR="00E31687" w:rsidRDefault="00E31687" w:rsidP="00486FC5">
      <w:pPr>
        <w:spacing w:before="100" w:beforeAutospacing="1" w:after="100" w:afterAutospacing="1" w:line="240" w:lineRule="auto"/>
        <w:rPr>
          <w:rFonts w:eastAsia="Times New Roman" w:cs="Times New Roman"/>
          <w:color w:val="000000"/>
          <w:sz w:val="27"/>
          <w:szCs w:val="27"/>
        </w:rPr>
      </w:pPr>
    </w:p>
    <w:p w:rsidR="00E31687" w:rsidRDefault="00E31687" w:rsidP="00486FC5">
      <w:pPr>
        <w:spacing w:before="100" w:beforeAutospacing="1" w:after="100" w:afterAutospacing="1" w:line="240" w:lineRule="auto"/>
        <w:rPr>
          <w:rFonts w:eastAsia="Times New Roman" w:cs="Times New Roman"/>
          <w:color w:val="000000"/>
          <w:sz w:val="27"/>
          <w:szCs w:val="27"/>
        </w:rPr>
      </w:pPr>
    </w:p>
    <w:p w:rsidR="00486FC5" w:rsidRPr="00486FC5" w:rsidRDefault="00486FC5" w:rsidP="00486FC5">
      <w:pPr>
        <w:spacing w:before="100" w:beforeAutospacing="1" w:after="100" w:afterAutospacing="1" w:line="240" w:lineRule="auto"/>
        <w:rPr>
          <w:rFonts w:eastAsia="Times New Roman" w:cs="Times New Roman"/>
          <w:color w:val="000000"/>
          <w:sz w:val="27"/>
          <w:szCs w:val="27"/>
        </w:rPr>
      </w:pPr>
      <w:r w:rsidRPr="00486FC5">
        <w:rPr>
          <w:rFonts w:eastAsia="Times New Roman" w:cs="Times New Roman"/>
          <w:color w:val="000000"/>
          <w:sz w:val="27"/>
          <w:szCs w:val="27"/>
        </w:rPr>
        <w:lastRenderedPageBreak/>
        <w:t xml:space="preserve">This course is a part of the pre-service curriculum for social studies teachers and its goals address the following accrediting agency requirements: M 1.2.1; CF 2, 4, 9; SA 1, 3, 8; N </w:t>
      </w:r>
      <w:proofErr w:type="gramStart"/>
      <w:r w:rsidRPr="00486FC5">
        <w:rPr>
          <w:rFonts w:eastAsia="Times New Roman" w:cs="Times New Roman"/>
          <w:color w:val="000000"/>
          <w:sz w:val="27"/>
          <w:szCs w:val="27"/>
        </w:rPr>
        <w:t>1 ?</w:t>
      </w:r>
      <w:proofErr w:type="gramEnd"/>
      <w:r w:rsidRPr="00486FC5">
        <w:rPr>
          <w:rFonts w:eastAsia="Times New Roman" w:cs="Times New Roman"/>
          <w:color w:val="000000"/>
          <w:sz w:val="27"/>
          <w:szCs w:val="27"/>
        </w:rPr>
        <w:t xml:space="preserve"> 10* </w:t>
      </w:r>
      <w:r w:rsidRPr="00486FC5">
        <w:rPr>
          <w:rFonts w:eastAsia="Times New Roman" w:cs="Times New Roman"/>
          <w:color w:val="000000"/>
          <w:sz w:val="27"/>
          <w:szCs w:val="27"/>
        </w:rPr>
        <w:br/>
      </w:r>
      <w:r w:rsidRPr="00486FC5">
        <w:rPr>
          <w:rFonts w:eastAsia="Times New Roman" w:cs="Times New Roman"/>
          <w:color w:val="000000"/>
          <w:sz w:val="27"/>
          <w:szCs w:val="27"/>
        </w:rPr>
        <w:br/>
        <w:t>* NOTE: M = MOSTEP; CF = Conceptual Framework; SA = Specialty Area; N = NCSS + the number of the indicator.</w:t>
      </w:r>
    </w:p>
    <w:p w:rsidR="00814643" w:rsidRPr="00486FC5" w:rsidRDefault="00486FC5">
      <w:r w:rsidRPr="00486FC5">
        <w:t>Assessments and Grades</w:t>
      </w:r>
    </w:p>
    <w:p w:rsidR="00486FC5" w:rsidRPr="00486FC5" w:rsidRDefault="00486FC5" w:rsidP="00486FC5">
      <w:r w:rsidRPr="00486FC5">
        <w:rPr>
          <w:color w:val="000000"/>
          <w:sz w:val="27"/>
          <w:szCs w:val="27"/>
        </w:rPr>
        <w:t>For each chapter there is one multiple choice test of 30 questions and one essay test consisting of four questions requiring no less than one or more than three coherent paragraphs. Students will have two opportunities to take each test. However, each essay test consists of four (4) questions randomly chosen from a test bank. Each "attempt" will consist of a different set of questions. Students will have up to two hours to write a set of essays. Carefully read the grading rubric below and the example to clarify essay grades. Students can take up to two hours to complete the tests. When the Blackboard test clock reaches 120 minutes, Blackboard will automatically save and close the exam. Again, students can take the exam twice. In both the essays and the objective tests, the highest score counts in the final grade. The course also uses three graded discussions to assess student learning. The discussions concern the large-scale questions covering multiple chapters. A rubric is associated with the discussion, and it is reproduced below. Read it carefully before participating in discussion. </w:t>
      </w:r>
    </w:p>
    <w:p w:rsidR="00486FC5" w:rsidRPr="00486FC5" w:rsidRDefault="00486FC5" w:rsidP="00486FC5">
      <w:pPr>
        <w:pStyle w:val="Heading3"/>
        <w:rPr>
          <w:rFonts w:ascii="Verdana" w:hAnsi="Verdana"/>
          <w:color w:val="000000"/>
        </w:rPr>
      </w:pPr>
      <w:r w:rsidRPr="00486FC5">
        <w:rPr>
          <w:rFonts w:ascii="Verdana" w:hAnsi="Verdana"/>
          <w:color w:val="000000"/>
        </w:rPr>
        <w:t>Grading Rubric for essay questions:</w:t>
      </w:r>
    </w:p>
    <w:tbl>
      <w:tblPr>
        <w:tblW w:w="0" w:type="auto"/>
        <w:tblCellSpacing w:w="7" w:type="dxa"/>
        <w:tblInd w:w="-141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3002"/>
        <w:gridCol w:w="2413"/>
        <w:gridCol w:w="3349"/>
      </w:tblGrid>
      <w:tr w:rsidR="00486FC5" w:rsidRPr="00486FC5" w:rsidTr="00486FC5">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FC5" w:rsidRPr="00486FC5" w:rsidRDefault="00486FC5">
            <w:pPr>
              <w:pStyle w:val="Heading3"/>
              <w:rPr>
                <w:rFonts w:ascii="Verdana" w:hAnsi="Verdana"/>
              </w:rPr>
            </w:pPr>
            <w:r w:rsidRPr="00486FC5">
              <w:rPr>
                <w:rFonts w:ascii="Verdana" w:hAnsi="Verdana"/>
              </w:rPr>
              <w:t>Level</w:t>
            </w:r>
          </w:p>
        </w:tc>
        <w:tc>
          <w:tcPr>
            <w:tcW w:w="0" w:type="auto"/>
            <w:tcBorders>
              <w:top w:val="outset" w:sz="6" w:space="0" w:color="auto"/>
              <w:left w:val="outset" w:sz="6" w:space="0" w:color="auto"/>
              <w:bottom w:val="outset" w:sz="6" w:space="0" w:color="auto"/>
              <w:right w:val="outset" w:sz="6" w:space="0" w:color="auto"/>
            </w:tcBorders>
            <w:vAlign w:val="center"/>
            <w:hideMark/>
          </w:tcPr>
          <w:p w:rsidR="00486FC5" w:rsidRPr="00486FC5" w:rsidRDefault="00486FC5">
            <w:pPr>
              <w:pStyle w:val="Heading3"/>
              <w:jc w:val="center"/>
              <w:rPr>
                <w:rFonts w:ascii="Verdana" w:hAnsi="Verdana"/>
              </w:rPr>
            </w:pPr>
            <w:r w:rsidRPr="00486FC5">
              <w:rPr>
                <w:rFonts w:ascii="Verdana" w:hAnsi="Verdana"/>
              </w:rPr>
              <w:t>Basic</w:t>
            </w:r>
          </w:p>
        </w:tc>
        <w:tc>
          <w:tcPr>
            <w:tcW w:w="0" w:type="auto"/>
            <w:tcBorders>
              <w:top w:val="outset" w:sz="6" w:space="0" w:color="auto"/>
              <w:left w:val="outset" w:sz="6" w:space="0" w:color="auto"/>
              <w:bottom w:val="outset" w:sz="6" w:space="0" w:color="auto"/>
              <w:right w:val="outset" w:sz="6" w:space="0" w:color="auto"/>
            </w:tcBorders>
            <w:vAlign w:val="center"/>
            <w:hideMark/>
          </w:tcPr>
          <w:p w:rsidR="00486FC5" w:rsidRPr="00486FC5" w:rsidRDefault="00486FC5">
            <w:pPr>
              <w:pStyle w:val="Heading3"/>
              <w:jc w:val="center"/>
              <w:rPr>
                <w:rFonts w:ascii="Verdana" w:hAnsi="Verdana"/>
              </w:rPr>
            </w:pPr>
            <w:r w:rsidRPr="00486FC5">
              <w:rPr>
                <w:rFonts w:ascii="Verdana" w:hAnsi="Verdana"/>
              </w:rPr>
              <w:t>Proficient</w:t>
            </w:r>
          </w:p>
        </w:tc>
        <w:tc>
          <w:tcPr>
            <w:tcW w:w="0" w:type="auto"/>
            <w:tcBorders>
              <w:top w:val="outset" w:sz="6" w:space="0" w:color="auto"/>
              <w:left w:val="outset" w:sz="6" w:space="0" w:color="auto"/>
              <w:bottom w:val="outset" w:sz="6" w:space="0" w:color="auto"/>
              <w:right w:val="outset" w:sz="6" w:space="0" w:color="auto"/>
            </w:tcBorders>
            <w:vAlign w:val="center"/>
            <w:hideMark/>
          </w:tcPr>
          <w:p w:rsidR="00486FC5" w:rsidRPr="00486FC5" w:rsidRDefault="00486FC5">
            <w:pPr>
              <w:pStyle w:val="Heading3"/>
              <w:jc w:val="center"/>
              <w:rPr>
                <w:rFonts w:ascii="Verdana" w:hAnsi="Verdana"/>
              </w:rPr>
            </w:pPr>
            <w:r w:rsidRPr="00486FC5">
              <w:rPr>
                <w:rFonts w:ascii="Verdana" w:hAnsi="Verdana"/>
              </w:rPr>
              <w:t>Strong</w:t>
            </w:r>
          </w:p>
        </w:tc>
      </w:tr>
      <w:tr w:rsidR="00486FC5" w:rsidRPr="00486FC5" w:rsidTr="00486FC5">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FC5" w:rsidRPr="00486FC5" w:rsidRDefault="00486FC5">
            <w:pPr>
              <w:rPr>
                <w:szCs w:val="24"/>
              </w:rPr>
            </w:pPr>
            <w:r w:rsidRPr="00486FC5">
              <w:rPr>
                <w:rStyle w:val="Strong"/>
              </w:rPr>
              <w:t>Score</w:t>
            </w:r>
          </w:p>
        </w:tc>
        <w:tc>
          <w:tcPr>
            <w:tcW w:w="0" w:type="auto"/>
            <w:tcBorders>
              <w:top w:val="outset" w:sz="6" w:space="0" w:color="auto"/>
              <w:left w:val="outset" w:sz="6" w:space="0" w:color="auto"/>
              <w:bottom w:val="outset" w:sz="6" w:space="0" w:color="auto"/>
              <w:right w:val="outset" w:sz="6" w:space="0" w:color="auto"/>
            </w:tcBorders>
            <w:vAlign w:val="center"/>
            <w:hideMark/>
          </w:tcPr>
          <w:p w:rsidR="00486FC5" w:rsidRPr="00486FC5" w:rsidRDefault="00486FC5">
            <w:pPr>
              <w:jc w:val="center"/>
              <w:rPr>
                <w:szCs w:val="24"/>
              </w:rPr>
            </w:pPr>
            <w:r w:rsidRPr="00486FC5">
              <w:rPr>
                <w:rStyle w:val="Strong"/>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86FC5" w:rsidRPr="00486FC5" w:rsidRDefault="00486FC5">
            <w:pPr>
              <w:jc w:val="center"/>
              <w:rPr>
                <w:szCs w:val="24"/>
              </w:rPr>
            </w:pPr>
            <w:r w:rsidRPr="00486FC5">
              <w:rPr>
                <w:rStyle w:val="Strong"/>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86FC5" w:rsidRPr="00486FC5" w:rsidRDefault="00486FC5">
            <w:pPr>
              <w:jc w:val="center"/>
              <w:rPr>
                <w:szCs w:val="24"/>
              </w:rPr>
            </w:pPr>
            <w:r w:rsidRPr="00486FC5">
              <w:rPr>
                <w:rStyle w:val="Strong"/>
              </w:rPr>
              <w:t>10</w:t>
            </w:r>
          </w:p>
        </w:tc>
      </w:tr>
      <w:tr w:rsidR="00486FC5" w:rsidRPr="00486FC5" w:rsidTr="00486FC5">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6FC5" w:rsidRPr="00486FC5" w:rsidRDefault="00486FC5">
            <w:pPr>
              <w:rPr>
                <w:szCs w:val="24"/>
              </w:rPr>
            </w:pPr>
            <w:r w:rsidRPr="00486FC5">
              <w:rPr>
                <w:rStyle w:val="Strong"/>
              </w:rPr>
              <w:t>Characteristics</w:t>
            </w:r>
          </w:p>
        </w:tc>
        <w:tc>
          <w:tcPr>
            <w:tcW w:w="0" w:type="auto"/>
            <w:tcBorders>
              <w:top w:val="outset" w:sz="6" w:space="0" w:color="auto"/>
              <w:left w:val="outset" w:sz="6" w:space="0" w:color="auto"/>
              <w:bottom w:val="outset" w:sz="6" w:space="0" w:color="auto"/>
              <w:right w:val="outset" w:sz="6" w:space="0" w:color="auto"/>
            </w:tcBorders>
            <w:vAlign w:val="center"/>
            <w:hideMark/>
          </w:tcPr>
          <w:p w:rsidR="00486FC5" w:rsidRPr="00486FC5" w:rsidRDefault="00486FC5">
            <w:pPr>
              <w:rPr>
                <w:szCs w:val="24"/>
              </w:rPr>
            </w:pPr>
            <w:r w:rsidRPr="00486FC5">
              <w:t xml:space="preserve">The answer addresses the question in at least three complete sentences. The answer </w:t>
            </w:r>
            <w:r w:rsidRPr="00486FC5">
              <w:lastRenderedPageBreak/>
              <w:t>indicates some understanding of the question by using some key words.</w:t>
            </w:r>
          </w:p>
        </w:tc>
        <w:tc>
          <w:tcPr>
            <w:tcW w:w="0" w:type="auto"/>
            <w:tcBorders>
              <w:top w:val="outset" w:sz="6" w:space="0" w:color="auto"/>
              <w:left w:val="outset" w:sz="6" w:space="0" w:color="auto"/>
              <w:bottom w:val="outset" w:sz="6" w:space="0" w:color="auto"/>
              <w:right w:val="outset" w:sz="6" w:space="0" w:color="auto"/>
            </w:tcBorders>
            <w:vAlign w:val="center"/>
            <w:hideMark/>
          </w:tcPr>
          <w:p w:rsidR="00486FC5" w:rsidRPr="00486FC5" w:rsidRDefault="00486FC5">
            <w:pPr>
              <w:rPr>
                <w:szCs w:val="24"/>
              </w:rPr>
            </w:pPr>
            <w:r w:rsidRPr="00486FC5">
              <w:lastRenderedPageBreak/>
              <w:t xml:space="preserve">The answer addresses the question in a coherent </w:t>
            </w:r>
            <w:r w:rsidRPr="00486FC5">
              <w:lastRenderedPageBreak/>
              <w:t>paragraph. It includes supporting details drawn from the textbook.</w:t>
            </w:r>
          </w:p>
        </w:tc>
        <w:tc>
          <w:tcPr>
            <w:tcW w:w="0" w:type="auto"/>
            <w:tcBorders>
              <w:top w:val="outset" w:sz="6" w:space="0" w:color="auto"/>
              <w:left w:val="outset" w:sz="6" w:space="0" w:color="auto"/>
              <w:bottom w:val="outset" w:sz="6" w:space="0" w:color="auto"/>
              <w:right w:val="outset" w:sz="6" w:space="0" w:color="auto"/>
            </w:tcBorders>
            <w:vAlign w:val="center"/>
            <w:hideMark/>
          </w:tcPr>
          <w:p w:rsidR="00486FC5" w:rsidRPr="00486FC5" w:rsidRDefault="00486FC5">
            <w:pPr>
              <w:rPr>
                <w:szCs w:val="24"/>
              </w:rPr>
            </w:pPr>
            <w:r w:rsidRPr="00486FC5">
              <w:lastRenderedPageBreak/>
              <w:t xml:space="preserve">The answer addresses the question in a coherent paragraph. It includes supporting details drawn </w:t>
            </w:r>
            <w:r w:rsidRPr="00486FC5">
              <w:lastRenderedPageBreak/>
              <w:t>from the textbook. The answer shows</w:t>
            </w:r>
            <w:proofErr w:type="gramStart"/>
            <w:r w:rsidRPr="00486FC5">
              <w:t>  analytic</w:t>
            </w:r>
            <w:proofErr w:type="gramEnd"/>
            <w:r w:rsidRPr="00486FC5">
              <w:t xml:space="preserve"> or synthetic thinking about the question.</w:t>
            </w:r>
          </w:p>
        </w:tc>
      </w:tr>
    </w:tbl>
    <w:p w:rsidR="00486FC5" w:rsidRPr="00486FC5" w:rsidRDefault="00486FC5" w:rsidP="00486FC5">
      <w:pPr>
        <w:pStyle w:val="Heading3"/>
        <w:rPr>
          <w:rFonts w:ascii="Verdana" w:hAnsi="Verdana"/>
          <w:color w:val="000000"/>
        </w:rPr>
      </w:pPr>
      <w:r w:rsidRPr="00486FC5">
        <w:rPr>
          <w:rFonts w:ascii="Verdana" w:hAnsi="Verdana"/>
          <w:color w:val="000000"/>
        </w:rPr>
        <w:lastRenderedPageBreak/>
        <w:t>Example:</w:t>
      </w:r>
    </w:p>
    <w:p w:rsidR="00486FC5" w:rsidRPr="00486FC5" w:rsidRDefault="00486FC5" w:rsidP="00486FC5">
      <w:pPr>
        <w:rPr>
          <w:color w:val="000000"/>
          <w:sz w:val="27"/>
          <w:szCs w:val="27"/>
        </w:rPr>
      </w:pPr>
      <w:r w:rsidRPr="00486FC5">
        <w:rPr>
          <w:b/>
          <w:bCs/>
          <w:color w:val="000000"/>
          <w:sz w:val="27"/>
          <w:szCs w:val="27"/>
        </w:rPr>
        <w:t>Question</w:t>
      </w:r>
      <w:r w:rsidRPr="00486FC5">
        <w:rPr>
          <w:color w:val="000000"/>
          <w:sz w:val="27"/>
          <w:szCs w:val="27"/>
        </w:rPr>
        <w:t>:</w:t>
      </w:r>
    </w:p>
    <w:p w:rsidR="00486FC5" w:rsidRPr="00486FC5" w:rsidRDefault="00486FC5" w:rsidP="00486FC5">
      <w:pPr>
        <w:rPr>
          <w:color w:val="000000"/>
          <w:sz w:val="27"/>
          <w:szCs w:val="27"/>
        </w:rPr>
      </w:pPr>
      <w:r w:rsidRPr="00486FC5">
        <w:rPr>
          <w:color w:val="000000"/>
          <w:sz w:val="27"/>
          <w:szCs w:val="27"/>
        </w:rPr>
        <w:t>What are the most significant characteristics of Hellenistic religion?</w:t>
      </w:r>
    </w:p>
    <w:p w:rsidR="00486FC5" w:rsidRPr="00486FC5" w:rsidRDefault="00486FC5" w:rsidP="00486FC5">
      <w:pPr>
        <w:pStyle w:val="NormalWeb"/>
        <w:rPr>
          <w:rFonts w:ascii="Verdana" w:hAnsi="Verdana"/>
          <w:color w:val="000000"/>
          <w:sz w:val="27"/>
          <w:szCs w:val="27"/>
        </w:rPr>
      </w:pPr>
      <w:r w:rsidRPr="00486FC5">
        <w:rPr>
          <w:rFonts w:ascii="Verdana" w:hAnsi="Verdana"/>
          <w:color w:val="000000"/>
          <w:sz w:val="27"/>
          <w:szCs w:val="27"/>
        </w:rPr>
        <w:br/>
      </w:r>
      <w:r w:rsidRPr="00486FC5">
        <w:rPr>
          <w:rFonts w:ascii="Verdana" w:hAnsi="Verdana"/>
          <w:b/>
          <w:bCs/>
          <w:color w:val="000000"/>
          <w:sz w:val="27"/>
          <w:szCs w:val="27"/>
        </w:rPr>
        <w:t>Basic answer:</w:t>
      </w:r>
    </w:p>
    <w:p w:rsidR="00486FC5" w:rsidRPr="00486FC5" w:rsidRDefault="00486FC5" w:rsidP="00486FC5">
      <w:pPr>
        <w:rPr>
          <w:color w:val="000000"/>
          <w:sz w:val="27"/>
          <w:szCs w:val="27"/>
        </w:rPr>
      </w:pPr>
      <w:r w:rsidRPr="00486FC5">
        <w:rPr>
          <w:color w:val="000000"/>
          <w:sz w:val="27"/>
          <w:szCs w:val="27"/>
        </w:rPr>
        <w:t xml:space="preserve">Hellenistic people believed </w:t>
      </w:r>
      <w:proofErr w:type="spellStart"/>
      <w:r w:rsidRPr="00486FC5">
        <w:rPr>
          <w:color w:val="000000"/>
          <w:sz w:val="27"/>
          <w:szCs w:val="27"/>
        </w:rPr>
        <w:t>believed</w:t>
      </w:r>
      <w:proofErr w:type="spellEnd"/>
      <w:r w:rsidRPr="00486FC5">
        <w:rPr>
          <w:color w:val="000000"/>
          <w:sz w:val="27"/>
          <w:szCs w:val="27"/>
        </w:rPr>
        <w:t xml:space="preserve"> in king worship. There were cults of many gods. Salvation was important.</w:t>
      </w:r>
    </w:p>
    <w:p w:rsidR="00486FC5" w:rsidRPr="00486FC5" w:rsidRDefault="00486FC5" w:rsidP="00486FC5">
      <w:pPr>
        <w:rPr>
          <w:color w:val="000000"/>
          <w:sz w:val="27"/>
          <w:szCs w:val="27"/>
        </w:rPr>
      </w:pPr>
      <w:r w:rsidRPr="00486FC5">
        <w:rPr>
          <w:color w:val="000000"/>
          <w:sz w:val="27"/>
          <w:szCs w:val="27"/>
        </w:rPr>
        <w:br/>
      </w:r>
      <w:r w:rsidRPr="00486FC5">
        <w:rPr>
          <w:b/>
          <w:bCs/>
          <w:color w:val="000000"/>
          <w:sz w:val="27"/>
          <w:szCs w:val="27"/>
        </w:rPr>
        <w:t>Proficient answer:</w:t>
      </w:r>
    </w:p>
    <w:p w:rsidR="00486FC5" w:rsidRPr="00486FC5" w:rsidRDefault="00486FC5" w:rsidP="00486FC5">
      <w:pPr>
        <w:rPr>
          <w:color w:val="000000"/>
          <w:sz w:val="27"/>
          <w:szCs w:val="27"/>
        </w:rPr>
      </w:pPr>
      <w:r w:rsidRPr="00486FC5">
        <w:rPr>
          <w:color w:val="000000"/>
          <w:sz w:val="27"/>
          <w:szCs w:val="27"/>
        </w:rPr>
        <w:t>Hellenistic religions included religions of salvation, for instance Mithraism and the Isis cult. In Asia and Egypt, people worshiped the kings as a part of the state religion. Many people continued to participate in older temple cults.</w:t>
      </w:r>
    </w:p>
    <w:p w:rsidR="00486FC5" w:rsidRPr="00486FC5" w:rsidRDefault="00486FC5" w:rsidP="00486FC5">
      <w:pPr>
        <w:rPr>
          <w:color w:val="000000"/>
          <w:sz w:val="27"/>
          <w:szCs w:val="27"/>
        </w:rPr>
      </w:pPr>
      <w:r w:rsidRPr="00486FC5">
        <w:rPr>
          <w:b/>
          <w:bCs/>
          <w:color w:val="000000"/>
          <w:sz w:val="27"/>
          <w:szCs w:val="27"/>
        </w:rPr>
        <w:t>Strong answer:</w:t>
      </w:r>
    </w:p>
    <w:p w:rsidR="00486FC5" w:rsidRPr="00486FC5" w:rsidRDefault="00486FC5" w:rsidP="00486FC5">
      <w:pPr>
        <w:rPr>
          <w:color w:val="000000"/>
          <w:sz w:val="27"/>
          <w:szCs w:val="27"/>
        </w:rPr>
      </w:pPr>
      <w:r w:rsidRPr="00486FC5">
        <w:rPr>
          <w:color w:val="000000"/>
          <w:sz w:val="27"/>
          <w:szCs w:val="27"/>
        </w:rPr>
        <w:t>Universalism, eclecticism, and an interest in personal salvation characterized Hellenistic religion. Universal religions such as Mithraism, the Isis cult, and Buddhism, claimed to be available for all people in all places. These religions claimed to provide a path to salvation in the afterlife independent of the status, gender, or place of the believer. Moreover, they often included common elements, baptism, resurrected gods, and ethical codes. These religions developed as a response to the breakdown of the old city state religions in the empires of the Hellenistic era.</w:t>
      </w:r>
    </w:p>
    <w:p w:rsidR="00486FC5" w:rsidRPr="00486FC5" w:rsidRDefault="00486FC5" w:rsidP="00486FC5">
      <w:pPr>
        <w:pStyle w:val="Heading2"/>
        <w:rPr>
          <w:rFonts w:ascii="Verdana" w:hAnsi="Verdana"/>
          <w:color w:val="000000"/>
        </w:rPr>
      </w:pPr>
      <w:r w:rsidRPr="00486FC5">
        <w:rPr>
          <w:rFonts w:ascii="Verdana" w:hAnsi="Verdana"/>
          <w:color w:val="000000"/>
        </w:rPr>
        <w:lastRenderedPageBreak/>
        <w:t>Policies</w:t>
      </w:r>
    </w:p>
    <w:p w:rsidR="00486FC5" w:rsidRPr="00486FC5" w:rsidRDefault="00486FC5" w:rsidP="00486FC5">
      <w:pPr>
        <w:pStyle w:val="Heading2"/>
        <w:rPr>
          <w:rFonts w:ascii="Verdana" w:hAnsi="Verdana"/>
          <w:color w:val="000000"/>
        </w:rPr>
      </w:pPr>
      <w:r w:rsidRPr="00486FC5">
        <w:rPr>
          <w:rFonts w:ascii="Verdana" w:hAnsi="Verdana"/>
          <w:color w:val="000000"/>
        </w:rPr>
        <w:t>Nondiscrimination:</w:t>
      </w:r>
    </w:p>
    <w:p w:rsidR="00486FC5" w:rsidRPr="00486FC5" w:rsidRDefault="00486FC5" w:rsidP="00486FC5">
      <w:pPr>
        <w:pStyle w:val="NormalWeb"/>
        <w:rPr>
          <w:rFonts w:ascii="Verdana" w:hAnsi="Verdana"/>
          <w:color w:val="000000"/>
          <w:sz w:val="27"/>
          <w:szCs w:val="27"/>
        </w:rPr>
      </w:pPr>
      <w:r w:rsidRPr="00486FC5">
        <w:rPr>
          <w:rFonts w:ascii="Verdana" w:hAnsi="Verdana"/>
          <w:color w:val="000000"/>
          <w:sz w:val="27"/>
          <w:szCs w:val="27"/>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Equity and Diversity, </w:t>
      </w:r>
      <w:proofErr w:type="spellStart"/>
      <w:r w:rsidRPr="00486FC5">
        <w:rPr>
          <w:rFonts w:ascii="Verdana" w:hAnsi="Verdana"/>
          <w:color w:val="000000"/>
          <w:sz w:val="27"/>
          <w:szCs w:val="27"/>
        </w:rPr>
        <w:t>Siceluff</w:t>
      </w:r>
      <w:proofErr w:type="spellEnd"/>
      <w:r w:rsidRPr="00486FC5">
        <w:rPr>
          <w:rFonts w:ascii="Verdana" w:hAnsi="Verdana"/>
          <w:color w:val="000000"/>
          <w:sz w:val="27"/>
          <w:szCs w:val="27"/>
        </w:rPr>
        <w:t xml:space="preserve"> Hall 296, (417) 836-4252. Other types of concerns (i.e., concerns of an academic nature) should be discussed directly with your instructor and can also be brought to the attention of your instructor’s Department Head.</w:t>
      </w:r>
    </w:p>
    <w:p w:rsidR="00486FC5" w:rsidRPr="00486FC5" w:rsidRDefault="00486FC5" w:rsidP="00486FC5">
      <w:pPr>
        <w:pStyle w:val="Heading2"/>
        <w:rPr>
          <w:rFonts w:ascii="Verdana" w:hAnsi="Verdana"/>
          <w:color w:val="000000"/>
          <w:sz w:val="36"/>
          <w:szCs w:val="36"/>
        </w:rPr>
      </w:pPr>
      <w:r w:rsidRPr="00486FC5">
        <w:rPr>
          <w:rFonts w:ascii="Verdana" w:hAnsi="Verdana"/>
          <w:color w:val="000000"/>
        </w:rPr>
        <w:t>Disability accommodation:</w:t>
      </w:r>
    </w:p>
    <w:p w:rsidR="00486FC5" w:rsidRPr="00486FC5" w:rsidRDefault="00486FC5" w:rsidP="00486FC5">
      <w:pPr>
        <w:pStyle w:val="NormalWeb"/>
        <w:rPr>
          <w:rFonts w:ascii="Verdana" w:hAnsi="Verdana"/>
          <w:color w:val="000000"/>
          <w:sz w:val="27"/>
          <w:szCs w:val="27"/>
        </w:rPr>
      </w:pPr>
      <w:r w:rsidRPr="00486FC5">
        <w:rPr>
          <w:rFonts w:ascii="Verdana" w:hAnsi="Verdana"/>
          <w:color w:val="000000"/>
          <w:sz w:val="27"/>
          <w:szCs w:val="27"/>
        </w:rPr>
        <w:t>To request academic accommodations for a disability, contact the Director of Disability Services, Plaster Student Union, Suite 405, (417) 836-4192 or (417) 836-6792 (TTY),</w:t>
      </w:r>
      <w:r w:rsidRPr="00486FC5">
        <w:rPr>
          <w:rStyle w:val="apple-converted-space"/>
          <w:rFonts w:ascii="Verdana" w:hAnsi="Verdana"/>
          <w:color w:val="000000"/>
          <w:sz w:val="27"/>
          <w:szCs w:val="27"/>
        </w:rPr>
        <w:t> </w:t>
      </w:r>
      <w:hyperlink r:id="rId6" w:history="1">
        <w:r w:rsidRPr="00486FC5">
          <w:rPr>
            <w:rStyle w:val="Hyperlink"/>
            <w:rFonts w:ascii="Verdana" w:hAnsi="Verdana"/>
            <w:sz w:val="27"/>
            <w:szCs w:val="27"/>
          </w:rPr>
          <w:t>http://www.missouristate.edu/disability.</w:t>
        </w:r>
      </w:hyperlink>
      <w:r w:rsidRPr="00486FC5">
        <w:rPr>
          <w:rStyle w:val="apple-converted-space"/>
          <w:rFonts w:ascii="Verdana" w:hAnsi="Verdana"/>
          <w:color w:val="000000"/>
          <w:sz w:val="27"/>
          <w:szCs w:val="27"/>
        </w:rPr>
        <w:t> </w:t>
      </w:r>
      <w:r w:rsidRPr="00486FC5">
        <w:rPr>
          <w:rFonts w:ascii="Verdana" w:hAnsi="Verdana"/>
          <w:color w:val="000000"/>
          <w:sz w:val="27"/>
          <w:szCs w:val="27"/>
        </w:rPr>
        <w:t>Students are required to provide documentation of disability to Disability Services prior to receiving accommodations. Disability Services refers some types of accommodation requests to the Learning Diagnostic Clinic, which also provides diagnostic testing for learning and psychological disabilities. For information about testing, contact the Director of the Learning Diagnostic Clinic, (417) 836-4787.</w:t>
      </w:r>
    </w:p>
    <w:p w:rsidR="00486FC5" w:rsidRPr="00486FC5" w:rsidRDefault="00486FC5" w:rsidP="00486FC5">
      <w:pPr>
        <w:pStyle w:val="Heading2"/>
        <w:rPr>
          <w:rFonts w:ascii="Verdana" w:hAnsi="Verdana"/>
          <w:color w:val="000000"/>
          <w:sz w:val="36"/>
          <w:szCs w:val="36"/>
        </w:rPr>
      </w:pPr>
      <w:r w:rsidRPr="00486FC5">
        <w:rPr>
          <w:rFonts w:ascii="Verdana" w:hAnsi="Verdana"/>
          <w:color w:val="000000"/>
        </w:rPr>
        <w:t>Academic dishonesty</w:t>
      </w:r>
    </w:p>
    <w:p w:rsidR="00486FC5" w:rsidRPr="00486FC5" w:rsidRDefault="00486FC5" w:rsidP="00486FC5">
      <w:pPr>
        <w:pStyle w:val="NormalWeb"/>
        <w:rPr>
          <w:rFonts w:ascii="Verdana" w:hAnsi="Verdana"/>
          <w:color w:val="000000"/>
          <w:sz w:val="27"/>
          <w:szCs w:val="27"/>
        </w:rPr>
      </w:pPr>
      <w:r w:rsidRPr="00486FC5">
        <w:rPr>
          <w:rFonts w:ascii="Verdana" w:hAnsi="Verdana"/>
          <w:color w:val="000000"/>
          <w:sz w:val="27"/>
          <w:szCs w:val="27"/>
        </w:rPr>
        <w:t>Missouri State University is a community of scholars committed to developing educated persons who accept the responsibility to practice personal and academic integrity. You are responsible for knowing and following the university’s student honor code, Student Academic Integrity Policies and Procedures, available at</w:t>
      </w:r>
      <w:r w:rsidRPr="00486FC5">
        <w:rPr>
          <w:rStyle w:val="apple-converted-space"/>
          <w:rFonts w:ascii="Verdana" w:hAnsi="Verdana"/>
          <w:color w:val="000000"/>
          <w:sz w:val="27"/>
          <w:szCs w:val="27"/>
        </w:rPr>
        <w:t> </w:t>
      </w:r>
      <w:hyperlink r:id="rId7" w:history="1">
        <w:r w:rsidRPr="00486FC5">
          <w:rPr>
            <w:rStyle w:val="Hyperlink"/>
            <w:rFonts w:ascii="Verdana" w:hAnsi="Verdana"/>
            <w:sz w:val="27"/>
            <w:szCs w:val="27"/>
          </w:rPr>
          <w:t>http://www.missouristate.edu/provost/3935.htm</w:t>
        </w:r>
      </w:hyperlink>
      <w:r w:rsidRPr="00486FC5">
        <w:rPr>
          <w:rStyle w:val="apple-converted-space"/>
          <w:rFonts w:ascii="Verdana" w:hAnsi="Verdana"/>
          <w:color w:val="000000"/>
          <w:sz w:val="27"/>
          <w:szCs w:val="27"/>
        </w:rPr>
        <w:t> </w:t>
      </w:r>
      <w:r w:rsidRPr="00486FC5">
        <w:rPr>
          <w:rFonts w:ascii="Verdana" w:hAnsi="Verdana"/>
          <w:color w:val="000000"/>
          <w:sz w:val="27"/>
          <w:szCs w:val="27"/>
        </w:rPr>
        <w:t>and also available at the Reserves Desk in Meyer Library. Any student participating in any form of academic dishonesty will be subject to sanctions as described in this policy.</w:t>
      </w:r>
    </w:p>
    <w:p w:rsidR="00486FC5" w:rsidRPr="00486FC5" w:rsidRDefault="00486FC5" w:rsidP="00486FC5">
      <w:pPr>
        <w:pStyle w:val="NormalWeb"/>
        <w:rPr>
          <w:rFonts w:ascii="Verdana" w:hAnsi="Verdana"/>
          <w:color w:val="000000"/>
          <w:sz w:val="27"/>
          <w:szCs w:val="27"/>
        </w:rPr>
      </w:pPr>
      <w:r w:rsidRPr="00486FC5">
        <w:rPr>
          <w:rFonts w:ascii="Verdana" w:hAnsi="Verdana"/>
          <w:color w:val="000000"/>
          <w:sz w:val="27"/>
          <w:szCs w:val="27"/>
        </w:rPr>
        <w:lastRenderedPageBreak/>
        <w:t>Students may collaborate to improve their performance in the course. However, students must write their own answers to all questions. When answers closely match each other, the instructor will presume that one student is plagiarizing the work of another. The penalty for both the plagiarizer and the enabler will be a zero for the entire assignment in which there is evidence of plagiarism.</w:t>
      </w:r>
    </w:p>
    <w:p w:rsidR="00486FC5" w:rsidRPr="00486FC5" w:rsidRDefault="00486FC5" w:rsidP="00486FC5">
      <w:pPr>
        <w:pStyle w:val="Heading2"/>
        <w:rPr>
          <w:rFonts w:ascii="Verdana" w:hAnsi="Verdana"/>
          <w:color w:val="000000"/>
          <w:sz w:val="36"/>
          <w:szCs w:val="36"/>
        </w:rPr>
      </w:pPr>
      <w:r w:rsidRPr="00486FC5">
        <w:rPr>
          <w:rFonts w:ascii="Verdana" w:hAnsi="Verdana"/>
          <w:color w:val="000000"/>
        </w:rPr>
        <w:t>Class Participation</w:t>
      </w:r>
    </w:p>
    <w:p w:rsidR="00486FC5" w:rsidRPr="00486FC5" w:rsidRDefault="00486FC5" w:rsidP="00486FC5">
      <w:pPr>
        <w:pStyle w:val="NormalWeb"/>
        <w:rPr>
          <w:rFonts w:ascii="Verdana" w:hAnsi="Verdana"/>
          <w:color w:val="000000"/>
          <w:sz w:val="27"/>
          <w:szCs w:val="27"/>
        </w:rPr>
      </w:pPr>
      <w:r w:rsidRPr="00486FC5">
        <w:rPr>
          <w:rFonts w:ascii="Verdana" w:hAnsi="Verdana"/>
          <w:color w:val="000000"/>
          <w:sz w:val="27"/>
          <w:szCs w:val="27"/>
        </w:rPr>
        <w:t>The instructor expects students to log into the Blackboard course site at regular intervals. The instructor will contact students after more than seven (7) days without logging in by email. Students who do not respond appropriately to these messages may fail the course.</w:t>
      </w:r>
    </w:p>
    <w:p w:rsidR="00486FC5" w:rsidRPr="00486FC5" w:rsidRDefault="00486FC5" w:rsidP="00486FC5">
      <w:pPr>
        <w:pStyle w:val="Heading2"/>
        <w:rPr>
          <w:rFonts w:ascii="Verdana" w:hAnsi="Verdana"/>
          <w:color w:val="000000"/>
          <w:sz w:val="36"/>
          <w:szCs w:val="36"/>
        </w:rPr>
      </w:pPr>
      <w:r w:rsidRPr="00486FC5">
        <w:rPr>
          <w:rFonts w:ascii="Verdana" w:hAnsi="Verdana"/>
          <w:color w:val="000000"/>
        </w:rPr>
        <w:t>Dropping this class:</w:t>
      </w:r>
    </w:p>
    <w:p w:rsidR="00486FC5" w:rsidRPr="00486FC5" w:rsidRDefault="00486FC5" w:rsidP="00486FC5">
      <w:pPr>
        <w:pStyle w:val="NormalWeb"/>
        <w:rPr>
          <w:rFonts w:ascii="Verdana" w:hAnsi="Verdana"/>
          <w:color w:val="000000"/>
          <w:sz w:val="27"/>
          <w:szCs w:val="27"/>
        </w:rPr>
      </w:pPr>
      <w:r w:rsidRPr="00486FC5">
        <w:rPr>
          <w:rFonts w:ascii="Verdana" w:hAnsi="Verdana"/>
          <w:color w:val="000000"/>
          <w:sz w:val="27"/>
          <w:szCs w:val="27"/>
        </w:rPr>
        <w:t>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w:t>
      </w:r>
      <w:r w:rsidRPr="00486FC5">
        <w:rPr>
          <w:rStyle w:val="apple-converted-space"/>
          <w:rFonts w:ascii="Verdana" w:hAnsi="Verdana"/>
          <w:color w:val="000000"/>
          <w:sz w:val="27"/>
          <w:szCs w:val="27"/>
        </w:rPr>
        <w:t> </w:t>
      </w:r>
      <w:hyperlink r:id="rId8" w:history="1">
        <w:r w:rsidRPr="00486FC5">
          <w:rPr>
            <w:rStyle w:val="Hyperlink"/>
            <w:rFonts w:ascii="Verdana" w:hAnsi="Verdana"/>
            <w:sz w:val="27"/>
            <w:szCs w:val="27"/>
          </w:rPr>
          <w:t>Office of the Registrar</w:t>
        </w:r>
      </w:hyperlink>
      <w:r w:rsidRPr="00486FC5">
        <w:rPr>
          <w:rStyle w:val="apple-converted-space"/>
          <w:rFonts w:ascii="Verdana" w:hAnsi="Verdana"/>
          <w:color w:val="000000"/>
          <w:sz w:val="27"/>
          <w:szCs w:val="27"/>
        </w:rPr>
        <w:t> </w:t>
      </w:r>
      <w:r w:rsidRPr="00486FC5">
        <w:rPr>
          <w:rFonts w:ascii="Verdana" w:hAnsi="Verdana"/>
          <w:color w:val="000000"/>
          <w:sz w:val="27"/>
          <w:szCs w:val="27"/>
        </w:rPr>
        <w:t>at (417) 836.5520.</w:t>
      </w:r>
    </w:p>
    <w:p w:rsidR="00E31687" w:rsidRPr="00E31687" w:rsidRDefault="00E31687" w:rsidP="00E31687">
      <w:pPr>
        <w:pBdr>
          <w:bottom w:val="single" w:sz="8" w:space="4" w:color="4F81BD" w:themeColor="accent1"/>
        </w:pBdr>
        <w:spacing w:after="300" w:line="240" w:lineRule="auto"/>
        <w:contextualSpacing/>
        <w:rPr>
          <w:rFonts w:asciiTheme="majorHAnsi" w:eastAsiaTheme="majorEastAsia" w:hAnsiTheme="majorHAnsi" w:cstheme="majorBidi"/>
          <w:color w:val="17365D" w:themeColor="text2" w:themeShade="BF"/>
          <w:spacing w:val="5"/>
          <w:kern w:val="28"/>
          <w:sz w:val="52"/>
          <w:szCs w:val="52"/>
        </w:rPr>
      </w:pPr>
      <w:r w:rsidRPr="00E31687">
        <w:rPr>
          <w:rFonts w:asciiTheme="majorHAnsi" w:eastAsiaTheme="majorEastAsia" w:hAnsiTheme="majorHAnsi" w:cstheme="majorBidi"/>
          <w:color w:val="17365D" w:themeColor="text2" w:themeShade="BF"/>
          <w:spacing w:val="5"/>
          <w:kern w:val="28"/>
          <w:sz w:val="52"/>
          <w:szCs w:val="52"/>
        </w:rPr>
        <w:t>Assignments</w:t>
      </w:r>
    </w:p>
    <w:p w:rsidR="00E31687" w:rsidRPr="00E31687" w:rsidRDefault="00E31687" w:rsidP="00E31687">
      <w:pPr>
        <w:numPr>
          <w:ilvl w:val="1"/>
          <w:numId w:val="0"/>
        </w:numPr>
        <w:rPr>
          <w:rFonts w:asciiTheme="majorHAnsi" w:eastAsiaTheme="majorEastAsia" w:hAnsiTheme="majorHAnsi" w:cstheme="majorBidi"/>
          <w:i/>
          <w:iCs/>
          <w:color w:val="4F81BD" w:themeColor="accent1"/>
          <w:spacing w:val="15"/>
          <w:szCs w:val="24"/>
        </w:rPr>
      </w:pPr>
      <w:bookmarkStart w:id="0" w:name="_GoBack"/>
      <w:bookmarkEnd w:id="0"/>
    </w:p>
    <w:p w:rsidR="00E31687" w:rsidRPr="00E31687" w:rsidRDefault="00E31687" w:rsidP="00E31687">
      <w:r w:rsidRPr="00E31687">
        <w:fldChar w:fldCharType="begin"/>
      </w:r>
      <w:r w:rsidRPr="00E31687">
        <w:instrText xml:space="preserve"> HYPERLINK "https://bb9.missouristate.edu/webapps/blackboard/content/listContentEditable.jsp?content_id=_1607668_1&amp;course_id=_203954_1" </w:instrText>
      </w:r>
      <w:r w:rsidRPr="00E31687">
        <w:fldChar w:fldCharType="separate"/>
      </w:r>
      <w:r w:rsidRPr="00E31687">
        <w:t xml:space="preserve">Chapter 1: First Peoples; First Farmers: Most of History in a Single Chapter, To 4000 </w:t>
      </w:r>
      <w:proofErr w:type="spellStart"/>
      <w:r w:rsidRPr="00E31687">
        <w:t>b.c.e</w:t>
      </w:r>
      <w:proofErr w:type="spellEnd"/>
      <w:r w:rsidRPr="00E31687">
        <w:t>.</w:t>
      </w:r>
      <w:r w:rsidRPr="00E31687">
        <w:fldChar w:fldCharType="end"/>
      </w:r>
      <w:r w:rsidRPr="00E31687">
        <w:t xml:space="preserve"> </w:t>
      </w:r>
    </w:p>
    <w:p w:rsidR="00E31687" w:rsidRPr="00E31687" w:rsidRDefault="00E31687" w:rsidP="00E31687">
      <w:r w:rsidRPr="00E31687">
        <w:t>Recommended: January 22</w:t>
      </w:r>
    </w:p>
    <w:p w:rsidR="00E31687" w:rsidRPr="00E31687" w:rsidRDefault="00E31687" w:rsidP="00E31687"/>
    <w:p w:rsidR="00E31687" w:rsidRPr="00E31687" w:rsidRDefault="00E31687" w:rsidP="00E31687">
      <w:hyperlink r:id="rId9" w:history="1">
        <w:r w:rsidRPr="00E31687">
          <w:t xml:space="preserve">Chapter 2: First Civilizations: Cities, States, and Unequal Societies, 3500 </w:t>
        </w:r>
        <w:proofErr w:type="spellStart"/>
        <w:r w:rsidRPr="00E31687">
          <w:t>b.c.e</w:t>
        </w:r>
        <w:proofErr w:type="spellEnd"/>
        <w:r w:rsidRPr="00E31687">
          <w:t xml:space="preserve">.–500 </w:t>
        </w:r>
        <w:proofErr w:type="spellStart"/>
        <w:r w:rsidRPr="00E31687">
          <w:t>b.c.e</w:t>
        </w:r>
        <w:proofErr w:type="spellEnd"/>
        <w:r w:rsidRPr="00E31687">
          <w:t>.</w:t>
        </w:r>
      </w:hyperlink>
      <w:r w:rsidRPr="00E31687">
        <w:t xml:space="preserve"> </w:t>
      </w:r>
    </w:p>
    <w:p w:rsidR="00E31687" w:rsidRPr="00E31687" w:rsidRDefault="00E31687" w:rsidP="00E31687">
      <w:r w:rsidRPr="00E31687">
        <w:t>Recommended: January 30</w:t>
      </w:r>
    </w:p>
    <w:p w:rsidR="00E31687" w:rsidRPr="00E31687" w:rsidRDefault="00E31687" w:rsidP="00E31687"/>
    <w:p w:rsidR="00E31687" w:rsidRPr="00E31687" w:rsidRDefault="00E31687" w:rsidP="00E31687">
      <w:hyperlink r:id="rId10" w:history="1">
        <w:r w:rsidRPr="00E31687">
          <w:t>Discussion: Prehistory and the First Civilizations</w:t>
        </w:r>
      </w:hyperlink>
      <w:r w:rsidRPr="00E31687">
        <w:t xml:space="preserve"> </w:t>
      </w:r>
    </w:p>
    <w:p w:rsidR="00E31687" w:rsidRPr="00E31687" w:rsidRDefault="00E31687" w:rsidP="00E31687">
      <w:r w:rsidRPr="00E31687">
        <w:t>January 31 - February 6</w:t>
      </w:r>
    </w:p>
    <w:p w:rsidR="00E31687" w:rsidRPr="00E31687" w:rsidRDefault="00E31687" w:rsidP="00E31687">
      <w:r w:rsidRPr="00E31687">
        <w:t xml:space="preserve">This discussion could concern any or all of the following issues: </w:t>
      </w:r>
    </w:p>
    <w:p w:rsidR="00E31687" w:rsidRPr="00E31687" w:rsidRDefault="00E31687" w:rsidP="00E31687">
      <w:pPr>
        <w:numPr>
          <w:ilvl w:val="0"/>
          <w:numId w:val="2"/>
        </w:numPr>
        <w:contextualSpacing/>
      </w:pPr>
      <w:r w:rsidRPr="00E31687">
        <w:t xml:space="preserve">How do we know how old cave paintings are? </w:t>
      </w:r>
    </w:p>
    <w:p w:rsidR="00E31687" w:rsidRPr="00E31687" w:rsidRDefault="00E31687" w:rsidP="00E31687">
      <w:pPr>
        <w:numPr>
          <w:ilvl w:val="0"/>
          <w:numId w:val="2"/>
        </w:numPr>
        <w:contextualSpacing/>
      </w:pPr>
      <w:r w:rsidRPr="00E31687">
        <w:t xml:space="preserve">What do cave paintings tell us about early Man? </w:t>
      </w:r>
    </w:p>
    <w:p w:rsidR="00E31687" w:rsidRPr="00E31687" w:rsidRDefault="00E31687" w:rsidP="00E31687">
      <w:pPr>
        <w:numPr>
          <w:ilvl w:val="0"/>
          <w:numId w:val="2"/>
        </w:numPr>
        <w:contextualSpacing/>
      </w:pPr>
      <w:r w:rsidRPr="00E31687">
        <w:t>What is the relationship between climate and the Agricultural Revolution?</w:t>
      </w:r>
    </w:p>
    <w:p w:rsidR="00E31687" w:rsidRPr="00E31687" w:rsidRDefault="00E31687" w:rsidP="00E31687">
      <w:pPr>
        <w:numPr>
          <w:ilvl w:val="0"/>
          <w:numId w:val="2"/>
        </w:numPr>
        <w:contextualSpacing/>
      </w:pPr>
      <w:r w:rsidRPr="00E31687">
        <w:t xml:space="preserve">Did the Agricultural Revolution occur in the same way everywhere or were there differences? </w:t>
      </w:r>
    </w:p>
    <w:p w:rsidR="00E31687" w:rsidRPr="00E31687" w:rsidRDefault="00E31687" w:rsidP="00E31687">
      <w:pPr>
        <w:numPr>
          <w:ilvl w:val="0"/>
          <w:numId w:val="2"/>
        </w:numPr>
        <w:contextualSpacing/>
      </w:pPr>
      <w:r w:rsidRPr="00E31687">
        <w:t xml:space="preserve">What did Man have to develop prior to inventing agriculture? </w:t>
      </w:r>
    </w:p>
    <w:p w:rsidR="00E31687" w:rsidRPr="00E31687" w:rsidRDefault="00E31687" w:rsidP="00E31687">
      <w:pPr>
        <w:numPr>
          <w:ilvl w:val="0"/>
          <w:numId w:val="2"/>
        </w:numPr>
        <w:contextualSpacing/>
      </w:pPr>
      <w:r w:rsidRPr="00E31687">
        <w:t xml:space="preserve">Who lost and who gained from the Agricultural Revolution? </w:t>
      </w:r>
    </w:p>
    <w:p w:rsidR="00E31687" w:rsidRPr="00E31687" w:rsidRDefault="00E31687" w:rsidP="00E31687">
      <w:pPr>
        <w:numPr>
          <w:ilvl w:val="0"/>
          <w:numId w:val="2"/>
        </w:numPr>
        <w:contextualSpacing/>
      </w:pPr>
      <w:r w:rsidRPr="00E31687">
        <w:t xml:space="preserve">How are the early civilizations different from farming cultures? </w:t>
      </w:r>
    </w:p>
    <w:p w:rsidR="00E31687" w:rsidRPr="00E31687" w:rsidRDefault="00E31687" w:rsidP="00E31687">
      <w:pPr>
        <w:numPr>
          <w:ilvl w:val="0"/>
          <w:numId w:val="2"/>
        </w:numPr>
        <w:contextualSpacing/>
      </w:pPr>
      <w:r w:rsidRPr="00E31687">
        <w:t xml:space="preserve">Why are civilized people willing to pay taxes? </w:t>
      </w:r>
    </w:p>
    <w:p w:rsidR="00E31687" w:rsidRPr="00E31687" w:rsidRDefault="00E31687" w:rsidP="00E31687">
      <w:pPr>
        <w:numPr>
          <w:ilvl w:val="0"/>
          <w:numId w:val="2"/>
        </w:numPr>
        <w:contextualSpacing/>
      </w:pPr>
      <w:r w:rsidRPr="00E31687">
        <w:t xml:space="preserve">Where does religion come from? </w:t>
      </w:r>
    </w:p>
    <w:p w:rsidR="00E31687" w:rsidRPr="00E31687" w:rsidRDefault="00E31687" w:rsidP="00E31687">
      <w:pPr>
        <w:numPr>
          <w:ilvl w:val="0"/>
          <w:numId w:val="2"/>
        </w:numPr>
        <w:contextualSpacing/>
      </w:pPr>
      <w:r w:rsidRPr="00E31687">
        <w:t xml:space="preserve">How did race come into being? Does it seem to be a factor in the development of civilizations? </w:t>
      </w:r>
    </w:p>
    <w:p w:rsidR="00E31687" w:rsidRPr="00E31687" w:rsidRDefault="00E31687" w:rsidP="00E31687">
      <w:pPr>
        <w:numPr>
          <w:ilvl w:val="0"/>
          <w:numId w:val="2"/>
        </w:numPr>
        <w:contextualSpacing/>
      </w:pPr>
      <w:r w:rsidRPr="00E31687">
        <w:t xml:space="preserve">Does the word "king" mean the same thing everywhere? </w:t>
      </w:r>
    </w:p>
    <w:p w:rsidR="00E31687" w:rsidRPr="00E31687" w:rsidRDefault="00E31687" w:rsidP="00E31687">
      <w:pPr>
        <w:numPr>
          <w:ilvl w:val="0"/>
          <w:numId w:val="2"/>
        </w:numPr>
        <w:contextualSpacing/>
      </w:pPr>
      <w:r w:rsidRPr="00E31687">
        <w:t>What was the most interesting thing you learned in these two chapters?</w:t>
      </w:r>
    </w:p>
    <w:p w:rsidR="00E31687" w:rsidRPr="00E31687" w:rsidRDefault="00E31687" w:rsidP="00E31687">
      <w:hyperlink r:id="rId11" w:history="1">
        <w:r w:rsidRPr="00E31687">
          <w:t xml:space="preserve">Chapter 3: State and Empire in Eurasia/North Africa, </w:t>
        </w:r>
        <w:proofErr w:type="gramStart"/>
        <w:r w:rsidRPr="00E31687">
          <w:t>500 B.C.E.–500 C.E.</w:t>
        </w:r>
        <w:proofErr w:type="gramEnd"/>
      </w:hyperlink>
      <w:r w:rsidRPr="00E31687">
        <w:t xml:space="preserve"> </w:t>
      </w:r>
    </w:p>
    <w:p w:rsidR="00E31687" w:rsidRPr="00E31687" w:rsidRDefault="00E31687" w:rsidP="00E31687">
      <w:r w:rsidRPr="00E31687">
        <w:t>Recommended: February 13</w:t>
      </w:r>
    </w:p>
    <w:p w:rsidR="00E31687" w:rsidRPr="00E31687" w:rsidRDefault="00E31687" w:rsidP="00E31687"/>
    <w:p w:rsidR="00E31687" w:rsidRPr="00E31687" w:rsidRDefault="00E31687" w:rsidP="00E31687">
      <w:hyperlink r:id="rId12" w:history="1">
        <w:r w:rsidRPr="00E31687">
          <w:t xml:space="preserve">Chapter 4: Culture and Religion in Eurasia/North Africa, </w:t>
        </w:r>
        <w:proofErr w:type="gramStart"/>
        <w:r w:rsidRPr="00E31687">
          <w:t>500 B.C.E.–500 C.E.</w:t>
        </w:r>
        <w:proofErr w:type="gramEnd"/>
      </w:hyperlink>
      <w:r w:rsidRPr="00E31687">
        <w:t xml:space="preserve"> </w:t>
      </w:r>
    </w:p>
    <w:p w:rsidR="00E31687" w:rsidRPr="00E31687" w:rsidRDefault="00E31687" w:rsidP="00E31687">
      <w:r w:rsidRPr="00E31687">
        <w:t>Recommended: February 21</w:t>
      </w:r>
    </w:p>
    <w:p w:rsidR="00E31687" w:rsidRPr="00E31687" w:rsidRDefault="00E31687" w:rsidP="00E31687"/>
    <w:p w:rsidR="00E31687" w:rsidRPr="00E31687" w:rsidRDefault="00E31687" w:rsidP="00E31687">
      <w:hyperlink r:id="rId13" w:history="1">
        <w:r w:rsidRPr="00E31687">
          <w:t xml:space="preserve">Chapter 5: Society and Inequality in Eurasia/North Africa, </w:t>
        </w:r>
        <w:proofErr w:type="gramStart"/>
        <w:r w:rsidRPr="00E31687">
          <w:t>500 B.C.E.–500 C.E.</w:t>
        </w:r>
        <w:proofErr w:type="gramEnd"/>
      </w:hyperlink>
      <w:r w:rsidRPr="00E31687">
        <w:t xml:space="preserve"> </w:t>
      </w:r>
    </w:p>
    <w:p w:rsidR="00E31687" w:rsidRPr="00E31687" w:rsidRDefault="00E31687" w:rsidP="00E31687">
      <w:r w:rsidRPr="00E31687">
        <w:t>Recommended: March 1</w:t>
      </w:r>
    </w:p>
    <w:p w:rsidR="00E31687" w:rsidRPr="00E31687" w:rsidRDefault="00E31687" w:rsidP="00E31687"/>
    <w:p w:rsidR="00E31687" w:rsidRPr="00E31687" w:rsidRDefault="00E31687" w:rsidP="00E31687">
      <w:hyperlink r:id="rId14" w:history="1">
        <w:r w:rsidRPr="00E31687">
          <w:t xml:space="preserve">Chapter 6: Commonalities and Variations: Africa and the Americas, </w:t>
        </w:r>
        <w:proofErr w:type="gramStart"/>
        <w:r w:rsidRPr="00E31687">
          <w:t>500 B.C.E.–1200 C.E.</w:t>
        </w:r>
        <w:proofErr w:type="gramEnd"/>
      </w:hyperlink>
      <w:r w:rsidRPr="00E31687">
        <w:t xml:space="preserve"> </w:t>
      </w:r>
    </w:p>
    <w:p w:rsidR="00E31687" w:rsidRPr="00E31687" w:rsidRDefault="00E31687" w:rsidP="00E31687">
      <w:r w:rsidRPr="00E31687">
        <w:lastRenderedPageBreak/>
        <w:t>Recommended: March 8</w:t>
      </w:r>
    </w:p>
    <w:p w:rsidR="00E31687" w:rsidRPr="00E31687" w:rsidRDefault="00E31687" w:rsidP="00E31687"/>
    <w:p w:rsidR="00E31687" w:rsidRPr="00E31687" w:rsidRDefault="00E31687" w:rsidP="00E31687">
      <w:hyperlink r:id="rId15" w:history="1">
        <w:r w:rsidRPr="00E31687">
          <w:t>2nd Wave Empires: Classical Civilization</w:t>
        </w:r>
      </w:hyperlink>
      <w:r w:rsidRPr="00E31687">
        <w:t xml:space="preserve"> </w:t>
      </w:r>
    </w:p>
    <w:p w:rsidR="00E31687" w:rsidRPr="00E31687" w:rsidRDefault="00E31687" w:rsidP="00E31687">
      <w:r w:rsidRPr="00E31687">
        <w:t>March 18 - March 24</w:t>
      </w:r>
    </w:p>
    <w:p w:rsidR="00E31687" w:rsidRPr="00E31687" w:rsidRDefault="00E31687" w:rsidP="00E31687">
      <w:r w:rsidRPr="00E31687">
        <w:t>This discussion could concern any or all of the following issues:</w:t>
      </w:r>
    </w:p>
    <w:p w:rsidR="00E31687" w:rsidRPr="00E31687" w:rsidRDefault="00E31687" w:rsidP="00E31687">
      <w:pPr>
        <w:numPr>
          <w:ilvl w:val="0"/>
          <w:numId w:val="3"/>
        </w:numPr>
        <w:contextualSpacing/>
      </w:pPr>
      <w:r w:rsidRPr="00E31687">
        <w:t xml:space="preserve">How did classical societies differ in the structure of families? </w:t>
      </w:r>
    </w:p>
    <w:p w:rsidR="00E31687" w:rsidRPr="00E31687" w:rsidRDefault="00E31687" w:rsidP="00E31687">
      <w:pPr>
        <w:numPr>
          <w:ilvl w:val="0"/>
          <w:numId w:val="3"/>
        </w:numPr>
        <w:contextualSpacing/>
      </w:pPr>
      <w:r w:rsidRPr="00E31687">
        <w:t xml:space="preserve">What is special about the Greek idea of citizenship? </w:t>
      </w:r>
    </w:p>
    <w:p w:rsidR="00E31687" w:rsidRPr="00E31687" w:rsidRDefault="00E31687" w:rsidP="00E31687">
      <w:pPr>
        <w:numPr>
          <w:ilvl w:val="0"/>
          <w:numId w:val="3"/>
        </w:numPr>
        <w:contextualSpacing/>
      </w:pPr>
      <w:r w:rsidRPr="00E31687">
        <w:t xml:space="preserve">What do we mean by the term, "consultative government?" </w:t>
      </w:r>
    </w:p>
    <w:p w:rsidR="00E31687" w:rsidRPr="00E31687" w:rsidRDefault="00E31687" w:rsidP="00E31687">
      <w:pPr>
        <w:numPr>
          <w:ilvl w:val="0"/>
          <w:numId w:val="3"/>
        </w:numPr>
        <w:contextualSpacing/>
      </w:pPr>
      <w:r w:rsidRPr="00E31687">
        <w:t xml:space="preserve">Why did the classical empires develop universal religions? </w:t>
      </w:r>
    </w:p>
    <w:p w:rsidR="00E31687" w:rsidRPr="00E31687" w:rsidRDefault="00E31687" w:rsidP="00E31687">
      <w:pPr>
        <w:numPr>
          <w:ilvl w:val="0"/>
          <w:numId w:val="3"/>
        </w:numPr>
        <w:contextualSpacing/>
      </w:pPr>
      <w:r w:rsidRPr="00E31687">
        <w:t xml:space="preserve">To what extent was force required to keep classical empires cohesive? </w:t>
      </w:r>
    </w:p>
    <w:p w:rsidR="00E31687" w:rsidRPr="00E31687" w:rsidRDefault="00E31687" w:rsidP="00E31687">
      <w:pPr>
        <w:numPr>
          <w:ilvl w:val="0"/>
          <w:numId w:val="3"/>
        </w:numPr>
        <w:contextualSpacing/>
      </w:pPr>
      <w:r w:rsidRPr="00E31687">
        <w:t xml:space="preserve">Were the empires worth the suffering required to build and maintain them? </w:t>
      </w:r>
    </w:p>
    <w:p w:rsidR="00E31687" w:rsidRPr="00E31687" w:rsidRDefault="00E31687" w:rsidP="00E31687">
      <w:pPr>
        <w:numPr>
          <w:ilvl w:val="0"/>
          <w:numId w:val="3"/>
        </w:numPr>
        <w:contextualSpacing/>
      </w:pPr>
      <w:r w:rsidRPr="00E31687">
        <w:t>What was the most interesting thing you learned in these chapters?</w:t>
      </w:r>
    </w:p>
    <w:p w:rsidR="00E31687" w:rsidRPr="00E31687" w:rsidRDefault="00E31687" w:rsidP="00E31687"/>
    <w:p w:rsidR="00E31687" w:rsidRPr="00E31687" w:rsidRDefault="00E31687" w:rsidP="00E31687">
      <w:hyperlink r:id="rId16" w:history="1">
        <w:r w:rsidRPr="00E31687">
          <w:t>Chapter 7: Commerce and Culture, 500–1500</w:t>
        </w:r>
      </w:hyperlink>
      <w:r w:rsidRPr="00E31687">
        <w:t xml:space="preserve"> </w:t>
      </w:r>
    </w:p>
    <w:p w:rsidR="00E31687" w:rsidRPr="00E31687" w:rsidRDefault="00E31687" w:rsidP="00E31687">
      <w:r w:rsidRPr="00E31687">
        <w:t>Recommended: April 1</w:t>
      </w:r>
    </w:p>
    <w:p w:rsidR="00E31687" w:rsidRPr="00E31687" w:rsidRDefault="00E31687" w:rsidP="00E31687"/>
    <w:p w:rsidR="00E31687" w:rsidRPr="00E31687" w:rsidRDefault="00E31687" w:rsidP="00E31687">
      <w:hyperlink r:id="rId17" w:history="1">
        <w:r w:rsidRPr="00E31687">
          <w:t>Chapter 8: China and the World: East Asian Connections, 500–1300</w:t>
        </w:r>
      </w:hyperlink>
      <w:r w:rsidRPr="00E31687">
        <w:t xml:space="preserve"> </w:t>
      </w:r>
    </w:p>
    <w:p w:rsidR="00E31687" w:rsidRPr="00E31687" w:rsidRDefault="00E31687" w:rsidP="00E31687">
      <w:r w:rsidRPr="00E31687">
        <w:t>Recommended: April 8</w:t>
      </w:r>
    </w:p>
    <w:p w:rsidR="00E31687" w:rsidRPr="00E31687" w:rsidRDefault="00E31687" w:rsidP="00E31687"/>
    <w:p w:rsidR="00E31687" w:rsidRPr="00E31687" w:rsidRDefault="00E31687" w:rsidP="00E31687">
      <w:hyperlink r:id="rId18" w:history="1">
        <w:r w:rsidRPr="00E31687">
          <w:t>Chapter 9: The Worlds of Islam: Afro-Eurasian Connections, 600–1500</w:t>
        </w:r>
      </w:hyperlink>
      <w:r w:rsidRPr="00E31687">
        <w:t xml:space="preserve"> </w:t>
      </w:r>
    </w:p>
    <w:p w:rsidR="00E31687" w:rsidRPr="00E31687" w:rsidRDefault="00E31687" w:rsidP="00E31687">
      <w:r w:rsidRPr="00E31687">
        <w:t>Recommended: April 15</w:t>
      </w:r>
    </w:p>
    <w:p w:rsidR="00E31687" w:rsidRPr="00E31687" w:rsidRDefault="00E31687" w:rsidP="00E31687"/>
    <w:p w:rsidR="00E31687" w:rsidRPr="00E31687" w:rsidRDefault="00E31687" w:rsidP="00E31687">
      <w:hyperlink r:id="rId19" w:history="1">
        <w:r w:rsidRPr="00E31687">
          <w:t>Chapter 10: The Worlds of Christendom: Contraction, Expansion, and Division, 500–1300</w:t>
        </w:r>
      </w:hyperlink>
      <w:r w:rsidRPr="00E31687">
        <w:t xml:space="preserve"> </w:t>
      </w:r>
    </w:p>
    <w:p w:rsidR="00E31687" w:rsidRPr="00E31687" w:rsidRDefault="00E31687" w:rsidP="00E31687">
      <w:r w:rsidRPr="00E31687">
        <w:t>Recommended: April 22</w:t>
      </w:r>
    </w:p>
    <w:p w:rsidR="00E31687" w:rsidRPr="00E31687" w:rsidRDefault="00E31687" w:rsidP="00E31687"/>
    <w:p w:rsidR="00E31687" w:rsidRPr="00E31687" w:rsidRDefault="00E31687" w:rsidP="00E31687">
      <w:hyperlink r:id="rId20" w:history="1">
        <w:r w:rsidRPr="00E31687">
          <w:t>Chapter 11: Pastoral Peoples on the Global Stage: The Mongol Moment, 1200–1500</w:t>
        </w:r>
      </w:hyperlink>
      <w:r w:rsidRPr="00E31687">
        <w:t xml:space="preserve"> </w:t>
      </w:r>
    </w:p>
    <w:p w:rsidR="00E31687" w:rsidRPr="00E31687" w:rsidRDefault="00E31687" w:rsidP="00E31687">
      <w:r w:rsidRPr="00E31687">
        <w:t>Recommended: April 29</w:t>
      </w:r>
    </w:p>
    <w:p w:rsidR="00E31687" w:rsidRPr="00E31687" w:rsidRDefault="00E31687" w:rsidP="00E31687"/>
    <w:p w:rsidR="00E31687" w:rsidRPr="00E31687" w:rsidRDefault="00E31687" w:rsidP="00E31687">
      <w:hyperlink r:id="rId21" w:history="1">
        <w:r w:rsidRPr="00E31687">
          <w:t>Chapter 12: The Worlds of the Fifteenth Century</w:t>
        </w:r>
      </w:hyperlink>
      <w:r w:rsidRPr="00E31687">
        <w:t xml:space="preserve"> </w:t>
      </w:r>
    </w:p>
    <w:p w:rsidR="00E31687" w:rsidRPr="00E31687" w:rsidRDefault="00E31687" w:rsidP="00E31687">
      <w:r w:rsidRPr="00E31687">
        <w:t xml:space="preserve">Recommended: May 6 </w:t>
      </w:r>
    </w:p>
    <w:p w:rsidR="00E31687" w:rsidRPr="00E31687" w:rsidRDefault="00E31687" w:rsidP="00E31687">
      <w:r w:rsidRPr="00E31687">
        <w:t xml:space="preserve">Important Note: All multiple choice and essay exams must be completed by the end of the day on May 6, 2013. </w:t>
      </w:r>
    </w:p>
    <w:p w:rsidR="00E31687" w:rsidRPr="00E31687" w:rsidRDefault="00E31687" w:rsidP="00E31687"/>
    <w:p w:rsidR="00E31687" w:rsidRPr="00E31687" w:rsidRDefault="00E31687" w:rsidP="00E31687">
      <w:hyperlink r:id="rId22" w:history="1">
        <w:r w:rsidRPr="00E31687">
          <w:t>Discussion: 3rd Wave Civilization</w:t>
        </w:r>
      </w:hyperlink>
      <w:r w:rsidRPr="00E31687">
        <w:t xml:space="preserve"> </w:t>
      </w:r>
    </w:p>
    <w:p w:rsidR="00E31687" w:rsidRPr="00E31687" w:rsidRDefault="00E31687" w:rsidP="00E31687">
      <w:r w:rsidRPr="00E31687">
        <w:t xml:space="preserve">May 7 - May 13 </w:t>
      </w:r>
    </w:p>
    <w:p w:rsidR="00E31687" w:rsidRPr="00E31687" w:rsidRDefault="00E31687" w:rsidP="00E31687">
      <w:r w:rsidRPr="00E31687">
        <w:t xml:space="preserve">This discussion could concern any or all of the following issues: </w:t>
      </w:r>
    </w:p>
    <w:p w:rsidR="00E31687" w:rsidRPr="00E31687" w:rsidRDefault="00E31687" w:rsidP="00E31687">
      <w:pPr>
        <w:numPr>
          <w:ilvl w:val="0"/>
          <w:numId w:val="4"/>
        </w:numPr>
        <w:contextualSpacing/>
      </w:pPr>
      <w:r w:rsidRPr="00E31687">
        <w:t xml:space="preserve">Why was trade so important for 3rd Wave empires? </w:t>
      </w:r>
    </w:p>
    <w:p w:rsidR="00E31687" w:rsidRPr="00E31687" w:rsidRDefault="00E31687" w:rsidP="00E31687">
      <w:pPr>
        <w:numPr>
          <w:ilvl w:val="0"/>
          <w:numId w:val="4"/>
        </w:numPr>
        <w:contextualSpacing/>
      </w:pPr>
      <w:r w:rsidRPr="00E31687">
        <w:t xml:space="preserve">Is the idea of "center and periphery" a useful way to examine 3rd Wave societies? Do you prefer it to "barbarian and civilized?" </w:t>
      </w:r>
    </w:p>
    <w:p w:rsidR="00E31687" w:rsidRPr="00E31687" w:rsidRDefault="00E31687" w:rsidP="00E31687">
      <w:pPr>
        <w:numPr>
          <w:ilvl w:val="0"/>
          <w:numId w:val="4"/>
        </w:numPr>
        <w:contextualSpacing/>
      </w:pPr>
      <w:r w:rsidRPr="00E31687">
        <w:t xml:space="preserve">How were women both freer and more constrained in the 3rd Wave societies compared to Classical Empires? </w:t>
      </w:r>
    </w:p>
    <w:p w:rsidR="00E31687" w:rsidRPr="00E31687" w:rsidRDefault="00E31687" w:rsidP="00E31687">
      <w:pPr>
        <w:numPr>
          <w:ilvl w:val="0"/>
          <w:numId w:val="4"/>
        </w:numPr>
        <w:contextualSpacing/>
      </w:pPr>
      <w:r w:rsidRPr="00E31687">
        <w:t xml:space="preserve">Why was China a major technological innovator of the 3rd Wave? </w:t>
      </w:r>
    </w:p>
    <w:p w:rsidR="00E31687" w:rsidRPr="00E31687" w:rsidRDefault="00E31687" w:rsidP="00E31687">
      <w:pPr>
        <w:numPr>
          <w:ilvl w:val="0"/>
          <w:numId w:val="4"/>
        </w:numPr>
        <w:contextualSpacing/>
      </w:pPr>
      <w:r w:rsidRPr="00E31687">
        <w:t xml:space="preserve">Was the 3rd Wave world a more balanced system than our own? What makes our own unbalanced? </w:t>
      </w:r>
    </w:p>
    <w:p w:rsidR="00E31687" w:rsidRPr="00E31687" w:rsidRDefault="00E31687" w:rsidP="00E31687">
      <w:pPr>
        <w:numPr>
          <w:ilvl w:val="0"/>
          <w:numId w:val="4"/>
        </w:numPr>
        <w:contextualSpacing/>
      </w:pPr>
      <w:r w:rsidRPr="00E31687">
        <w:t xml:space="preserve">For those following the Game of Thrones on HBO or in the books, do you think that it represents a 3rd Wave </w:t>
      </w:r>
      <w:proofErr w:type="gramStart"/>
      <w:r w:rsidRPr="00E31687">
        <w:t>empire</w:t>
      </w:r>
      <w:proofErr w:type="gramEnd"/>
      <w:r w:rsidRPr="00E31687">
        <w:t xml:space="preserve"> well? What fits and what doesn't? </w:t>
      </w:r>
    </w:p>
    <w:p w:rsidR="00E31687" w:rsidRPr="00E31687" w:rsidRDefault="00E31687" w:rsidP="00E31687">
      <w:pPr>
        <w:numPr>
          <w:ilvl w:val="0"/>
          <w:numId w:val="4"/>
        </w:numPr>
        <w:contextualSpacing/>
      </w:pPr>
      <w:r w:rsidRPr="00E31687">
        <w:t xml:space="preserve">What do you think that you might remember from this course ten years from now? </w:t>
      </w:r>
    </w:p>
    <w:p w:rsidR="00E31687" w:rsidRPr="00E31687" w:rsidRDefault="00E31687"/>
    <w:sectPr w:rsidR="00E31687" w:rsidRPr="00E316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24CF5"/>
    <w:multiLevelType w:val="hybridMultilevel"/>
    <w:tmpl w:val="DF5E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B5792E"/>
    <w:multiLevelType w:val="multilevel"/>
    <w:tmpl w:val="514AD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D1A2F00"/>
    <w:multiLevelType w:val="hybridMultilevel"/>
    <w:tmpl w:val="BC989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02231A"/>
    <w:multiLevelType w:val="hybridMultilevel"/>
    <w:tmpl w:val="B7549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FC5"/>
    <w:rsid w:val="00486FC5"/>
    <w:rsid w:val="0063017D"/>
    <w:rsid w:val="00814643"/>
    <w:rsid w:val="00A72602"/>
    <w:rsid w:val="00E31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602"/>
    <w:rPr>
      <w:rFonts w:ascii="Verdana" w:hAnsi="Verdana"/>
      <w:sz w:val="24"/>
    </w:rPr>
  </w:style>
  <w:style w:type="paragraph" w:styleId="Heading2">
    <w:name w:val="heading 2"/>
    <w:basedOn w:val="Normal"/>
    <w:next w:val="Normal"/>
    <w:link w:val="Heading2Char"/>
    <w:uiPriority w:val="9"/>
    <w:semiHidden/>
    <w:unhideWhenUsed/>
    <w:qFormat/>
    <w:rsid w:val="00486F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486FC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86FC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86FC5"/>
    <w:pPr>
      <w:spacing w:before="100" w:beforeAutospacing="1" w:after="100" w:afterAutospacing="1" w:line="240" w:lineRule="auto"/>
    </w:pPr>
    <w:rPr>
      <w:rFonts w:ascii="Times New Roman" w:eastAsia="Times New Roman" w:hAnsi="Times New Roman" w:cs="Times New Roman"/>
      <w:szCs w:val="24"/>
    </w:rPr>
  </w:style>
  <w:style w:type="character" w:customStyle="1" w:styleId="apple-converted-space">
    <w:name w:val="apple-converted-space"/>
    <w:basedOn w:val="DefaultParagraphFont"/>
    <w:rsid w:val="00486FC5"/>
  </w:style>
  <w:style w:type="character" w:styleId="Strong">
    <w:name w:val="Strong"/>
    <w:basedOn w:val="DefaultParagraphFont"/>
    <w:uiPriority w:val="22"/>
    <w:qFormat/>
    <w:rsid w:val="00486FC5"/>
    <w:rPr>
      <w:b/>
      <w:bCs/>
    </w:rPr>
  </w:style>
  <w:style w:type="character" w:customStyle="1" w:styleId="Heading2Char">
    <w:name w:val="Heading 2 Char"/>
    <w:basedOn w:val="DefaultParagraphFont"/>
    <w:link w:val="Heading2"/>
    <w:uiPriority w:val="9"/>
    <w:semiHidden/>
    <w:rsid w:val="00486FC5"/>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486FC5"/>
    <w:rPr>
      <w:color w:val="0000FF"/>
      <w:u w:val="single"/>
    </w:rPr>
  </w:style>
  <w:style w:type="table" w:styleId="TableGrid">
    <w:name w:val="Table Grid"/>
    <w:basedOn w:val="TableNormal"/>
    <w:uiPriority w:val="59"/>
    <w:rsid w:val="00E316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602"/>
    <w:rPr>
      <w:rFonts w:ascii="Verdana" w:hAnsi="Verdana"/>
      <w:sz w:val="24"/>
    </w:rPr>
  </w:style>
  <w:style w:type="paragraph" w:styleId="Heading2">
    <w:name w:val="heading 2"/>
    <w:basedOn w:val="Normal"/>
    <w:next w:val="Normal"/>
    <w:link w:val="Heading2Char"/>
    <w:uiPriority w:val="9"/>
    <w:semiHidden/>
    <w:unhideWhenUsed/>
    <w:qFormat/>
    <w:rsid w:val="00486F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486FC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86FC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86FC5"/>
    <w:pPr>
      <w:spacing w:before="100" w:beforeAutospacing="1" w:after="100" w:afterAutospacing="1" w:line="240" w:lineRule="auto"/>
    </w:pPr>
    <w:rPr>
      <w:rFonts w:ascii="Times New Roman" w:eastAsia="Times New Roman" w:hAnsi="Times New Roman" w:cs="Times New Roman"/>
      <w:szCs w:val="24"/>
    </w:rPr>
  </w:style>
  <w:style w:type="character" w:customStyle="1" w:styleId="apple-converted-space">
    <w:name w:val="apple-converted-space"/>
    <w:basedOn w:val="DefaultParagraphFont"/>
    <w:rsid w:val="00486FC5"/>
  </w:style>
  <w:style w:type="character" w:styleId="Strong">
    <w:name w:val="Strong"/>
    <w:basedOn w:val="DefaultParagraphFont"/>
    <w:uiPriority w:val="22"/>
    <w:qFormat/>
    <w:rsid w:val="00486FC5"/>
    <w:rPr>
      <w:b/>
      <w:bCs/>
    </w:rPr>
  </w:style>
  <w:style w:type="character" w:customStyle="1" w:styleId="Heading2Char">
    <w:name w:val="Heading 2 Char"/>
    <w:basedOn w:val="DefaultParagraphFont"/>
    <w:link w:val="Heading2"/>
    <w:uiPriority w:val="9"/>
    <w:semiHidden/>
    <w:rsid w:val="00486FC5"/>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486FC5"/>
    <w:rPr>
      <w:color w:val="0000FF"/>
      <w:u w:val="single"/>
    </w:rPr>
  </w:style>
  <w:style w:type="table" w:styleId="TableGrid">
    <w:name w:val="Table Grid"/>
    <w:basedOn w:val="TableNormal"/>
    <w:uiPriority w:val="59"/>
    <w:rsid w:val="00E316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442799">
      <w:bodyDiv w:val="1"/>
      <w:marLeft w:val="0"/>
      <w:marRight w:val="0"/>
      <w:marTop w:val="0"/>
      <w:marBottom w:val="0"/>
      <w:divBdr>
        <w:top w:val="none" w:sz="0" w:space="0" w:color="auto"/>
        <w:left w:val="none" w:sz="0" w:space="0" w:color="auto"/>
        <w:bottom w:val="none" w:sz="0" w:space="0" w:color="auto"/>
        <w:right w:val="none" w:sz="0" w:space="0" w:color="auto"/>
      </w:divBdr>
      <w:divsChild>
        <w:div w:id="638196090">
          <w:marLeft w:val="0"/>
          <w:marRight w:val="0"/>
          <w:marTop w:val="0"/>
          <w:marBottom w:val="0"/>
          <w:divBdr>
            <w:top w:val="none" w:sz="0" w:space="0" w:color="auto"/>
            <w:left w:val="none" w:sz="0" w:space="0" w:color="auto"/>
            <w:bottom w:val="none" w:sz="0" w:space="0" w:color="auto"/>
            <w:right w:val="none" w:sz="0" w:space="0" w:color="auto"/>
          </w:divBdr>
        </w:div>
        <w:div w:id="1950619313">
          <w:marLeft w:val="0"/>
          <w:marRight w:val="0"/>
          <w:marTop w:val="0"/>
          <w:marBottom w:val="0"/>
          <w:divBdr>
            <w:top w:val="none" w:sz="0" w:space="0" w:color="auto"/>
            <w:left w:val="none" w:sz="0" w:space="0" w:color="auto"/>
            <w:bottom w:val="none" w:sz="0" w:space="0" w:color="auto"/>
            <w:right w:val="none" w:sz="0" w:space="0" w:color="auto"/>
          </w:divBdr>
        </w:div>
        <w:div w:id="289214155">
          <w:marLeft w:val="600"/>
          <w:marRight w:val="0"/>
          <w:marTop w:val="0"/>
          <w:marBottom w:val="0"/>
          <w:divBdr>
            <w:top w:val="none" w:sz="0" w:space="0" w:color="auto"/>
            <w:left w:val="none" w:sz="0" w:space="0" w:color="auto"/>
            <w:bottom w:val="none" w:sz="0" w:space="0" w:color="auto"/>
            <w:right w:val="none" w:sz="0" w:space="0" w:color="auto"/>
          </w:divBdr>
        </w:div>
        <w:div w:id="107027154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11617508">
              <w:marLeft w:val="600"/>
              <w:marRight w:val="0"/>
              <w:marTop w:val="0"/>
              <w:marBottom w:val="0"/>
              <w:divBdr>
                <w:top w:val="none" w:sz="0" w:space="0" w:color="auto"/>
                <w:left w:val="none" w:sz="0" w:space="0" w:color="auto"/>
                <w:bottom w:val="none" w:sz="0" w:space="0" w:color="auto"/>
                <w:right w:val="none" w:sz="0" w:space="0" w:color="auto"/>
              </w:divBdr>
            </w:div>
            <w:div w:id="1471289082">
              <w:marLeft w:val="600"/>
              <w:marRight w:val="0"/>
              <w:marTop w:val="0"/>
              <w:marBottom w:val="0"/>
              <w:divBdr>
                <w:top w:val="none" w:sz="0" w:space="0" w:color="auto"/>
                <w:left w:val="none" w:sz="0" w:space="0" w:color="auto"/>
                <w:bottom w:val="none" w:sz="0" w:space="0" w:color="auto"/>
                <w:right w:val="none" w:sz="0" w:space="0" w:color="auto"/>
              </w:divBdr>
            </w:div>
            <w:div w:id="1974673885">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1060595656">
      <w:bodyDiv w:val="1"/>
      <w:marLeft w:val="0"/>
      <w:marRight w:val="0"/>
      <w:marTop w:val="0"/>
      <w:marBottom w:val="0"/>
      <w:divBdr>
        <w:top w:val="none" w:sz="0" w:space="0" w:color="auto"/>
        <w:left w:val="none" w:sz="0" w:space="0" w:color="auto"/>
        <w:bottom w:val="none" w:sz="0" w:space="0" w:color="auto"/>
        <w:right w:val="none" w:sz="0" w:space="0" w:color="auto"/>
      </w:divBdr>
    </w:div>
    <w:div w:id="129579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ssouristate.edu/registrar/" TargetMode="External"/><Relationship Id="rId13" Type="http://schemas.openxmlformats.org/officeDocument/2006/relationships/hyperlink" Target="https://bb9.missouristate.edu/webapps/blackboard/content/listContentEditable.jsp?content_id=_1607702_1&amp;course_id=_203954_1" TargetMode="External"/><Relationship Id="rId18" Type="http://schemas.openxmlformats.org/officeDocument/2006/relationships/hyperlink" Target="https://bb9.missouristate.edu/webapps/blackboard/content/listContentEditable.jsp?content_id=_1607776_1&amp;course_id=_203954_1" TargetMode="External"/><Relationship Id="rId3" Type="http://schemas.microsoft.com/office/2007/relationships/stylesWithEffects" Target="stylesWithEffects.xml"/><Relationship Id="rId21" Type="http://schemas.openxmlformats.org/officeDocument/2006/relationships/hyperlink" Target="https://bb9.missouristate.edu/webapps/blackboard/content/listContentEditable.jsp?content_id=_1607801_1&amp;course_id=_203954_1" TargetMode="External"/><Relationship Id="rId7" Type="http://schemas.openxmlformats.org/officeDocument/2006/relationships/hyperlink" Target="http://www.missouristate.edu/provost/3935.htm" TargetMode="External"/><Relationship Id="rId12" Type="http://schemas.openxmlformats.org/officeDocument/2006/relationships/hyperlink" Target="https://bb9.missouristate.edu/webapps/blackboard/content/listContentEditable.jsp?content_id=_1607694_1&amp;course_id=_203954_1" TargetMode="External"/><Relationship Id="rId17" Type="http://schemas.openxmlformats.org/officeDocument/2006/relationships/hyperlink" Target="https://bb9.missouristate.edu/webapps/blackboard/content/listContentEditable.jsp?content_id=_1607768_1&amp;course_id=_203954_1" TargetMode="External"/><Relationship Id="rId2" Type="http://schemas.openxmlformats.org/officeDocument/2006/relationships/styles" Target="styles.xml"/><Relationship Id="rId16" Type="http://schemas.openxmlformats.org/officeDocument/2006/relationships/hyperlink" Target="https://bb9.missouristate.edu/webapps/blackboard/content/listContentEditable.jsp?content_id=_1607724_1&amp;course_id=_203954_1" TargetMode="External"/><Relationship Id="rId20" Type="http://schemas.openxmlformats.org/officeDocument/2006/relationships/hyperlink" Target="https://bb9.missouristate.edu/webapps/blackboard/content/listContentEditable.jsp?content_id=_1607793_1&amp;course_id=_203954_1" TargetMode="External"/><Relationship Id="rId1" Type="http://schemas.openxmlformats.org/officeDocument/2006/relationships/numbering" Target="numbering.xml"/><Relationship Id="rId6" Type="http://schemas.openxmlformats.org/officeDocument/2006/relationships/hyperlink" Target="http://www.missouristate.edu/disability." TargetMode="External"/><Relationship Id="rId11" Type="http://schemas.openxmlformats.org/officeDocument/2006/relationships/hyperlink" Target="https://bb9.missouristate.edu/webapps/blackboard/content/listContentEditable.jsp?content_id=_1607685_1&amp;course_id=_203954_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b9.missouristate.edu/webapps/blackboard/content/launchLink.jsp?course_id=_203954_1&amp;content_id=_1635406_1&amp;mode=cpview" TargetMode="External"/><Relationship Id="rId23" Type="http://schemas.openxmlformats.org/officeDocument/2006/relationships/fontTable" Target="fontTable.xml"/><Relationship Id="rId10" Type="http://schemas.openxmlformats.org/officeDocument/2006/relationships/hyperlink" Target="https://bb9.missouristate.edu/webapps/blackboard/content/launchLink.jsp?course_id=_203954_1&amp;content_id=_1627329_1&amp;mode=cpview" TargetMode="External"/><Relationship Id="rId19" Type="http://schemas.openxmlformats.org/officeDocument/2006/relationships/hyperlink" Target="https://bb9.missouristate.edu/webapps/blackboard/content/listContentEditable.jsp?content_id=_1607784_1&amp;course_id=_203954_1" TargetMode="External"/><Relationship Id="rId4" Type="http://schemas.openxmlformats.org/officeDocument/2006/relationships/settings" Target="settings.xml"/><Relationship Id="rId9" Type="http://schemas.openxmlformats.org/officeDocument/2006/relationships/hyperlink" Target="https://bb9.missouristate.edu/webapps/blackboard/content/listContentEditable.jsp?content_id=_1607677_1&amp;course_id=_203954_1" TargetMode="External"/><Relationship Id="rId14" Type="http://schemas.openxmlformats.org/officeDocument/2006/relationships/hyperlink" Target="https://bb9.missouristate.edu/webapps/blackboard/content/listContentEditable.jsp?content_id=_1607710_1&amp;course_id=_203954_1" TargetMode="External"/><Relationship Id="rId22" Type="http://schemas.openxmlformats.org/officeDocument/2006/relationships/hyperlink" Target="https://bb9.missouristate.edu/webapps/blackboard/content/launchLink.jsp?course_id=_203954_1&amp;content_id=_1627342_1&amp;mode=cp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2430</Words>
  <Characters>13854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16252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dc:creator>
  <cp:lastModifiedBy>ChpaAdm</cp:lastModifiedBy>
  <cp:revision>2</cp:revision>
  <dcterms:created xsi:type="dcterms:W3CDTF">2013-01-22T20:56:00Z</dcterms:created>
  <dcterms:modified xsi:type="dcterms:W3CDTF">2013-01-22T20:56:00Z</dcterms:modified>
</cp:coreProperties>
</file>